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8" w:type="dxa"/>
        <w:tblInd w:w="-5" w:type="dxa"/>
        <w:tblCellMar>
          <w:left w:w="70" w:type="dxa"/>
          <w:right w:w="70" w:type="dxa"/>
        </w:tblCellMar>
        <w:tblLook w:val="04A0" w:firstRow="1" w:lastRow="0" w:firstColumn="1" w:lastColumn="0" w:noHBand="0" w:noVBand="1"/>
      </w:tblPr>
      <w:tblGrid>
        <w:gridCol w:w="1560"/>
        <w:gridCol w:w="1842"/>
        <w:gridCol w:w="4802"/>
        <w:gridCol w:w="495"/>
        <w:gridCol w:w="494"/>
        <w:gridCol w:w="502"/>
        <w:gridCol w:w="487"/>
        <w:gridCol w:w="419"/>
        <w:gridCol w:w="446"/>
        <w:gridCol w:w="4971"/>
      </w:tblGrid>
      <w:tr w:rsidR="00E87416" w:rsidRPr="00EB5A35" w:rsidTr="00B454C7">
        <w:trPr>
          <w:trHeight w:val="290"/>
        </w:trPr>
        <w:tc>
          <w:tcPr>
            <w:tcW w:w="1560" w:type="dxa"/>
            <w:tcBorders>
              <w:top w:val="single" w:sz="4" w:space="0" w:color="3366FF"/>
              <w:left w:val="single" w:sz="4" w:space="0" w:color="3366FF"/>
              <w:bottom w:val="single" w:sz="4" w:space="0" w:color="3366FF"/>
              <w:right w:val="single" w:sz="4" w:space="0" w:color="3366FF"/>
            </w:tcBorders>
            <w:shd w:val="clear" w:color="000000" w:fill="3366FF"/>
            <w:vAlign w:val="center"/>
            <w:hideMark/>
          </w:tcPr>
          <w:p w:rsidR="00EB5A35" w:rsidRPr="00EB5A35" w:rsidRDefault="00EB5A35" w:rsidP="00EB5A35">
            <w:pPr>
              <w:spacing w:after="0" w:line="240" w:lineRule="auto"/>
              <w:jc w:val="center"/>
              <w:rPr>
                <w:rFonts w:ascii="Calibri" w:eastAsia="Times New Roman" w:hAnsi="Calibri" w:cs="Calibri"/>
                <w:color w:val="FFFFFF"/>
                <w:lang w:eastAsia="tr-TR"/>
              </w:rPr>
            </w:pPr>
            <w:r w:rsidRPr="00EB5A35">
              <w:rPr>
                <w:rFonts w:ascii="Calibri" w:eastAsia="Times New Roman" w:hAnsi="Calibri" w:cs="Calibri"/>
                <w:color w:val="FFFFFF"/>
                <w:lang w:eastAsia="tr-TR"/>
              </w:rPr>
              <w:t>Checklist Item</w:t>
            </w:r>
          </w:p>
        </w:tc>
        <w:tc>
          <w:tcPr>
            <w:tcW w:w="1842"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431661" w:rsidP="00431661">
            <w:pPr>
              <w:spacing w:after="0" w:line="240" w:lineRule="auto"/>
              <w:rPr>
                <w:rFonts w:ascii="Calibri" w:eastAsia="Times New Roman" w:hAnsi="Calibri" w:cs="Calibri"/>
                <w:color w:val="FFFFFF"/>
                <w:lang w:eastAsia="tr-TR"/>
              </w:rPr>
            </w:pPr>
            <w:r>
              <w:rPr>
                <w:rFonts w:ascii="Calibri" w:eastAsia="Times New Roman" w:hAnsi="Calibri" w:cs="Calibri"/>
                <w:color w:val="FFFFFF"/>
                <w:lang w:eastAsia="tr-TR"/>
              </w:rPr>
              <w:t>Regulatory Reference(s)</w:t>
            </w:r>
          </w:p>
        </w:tc>
        <w:tc>
          <w:tcPr>
            <w:tcW w:w="4802"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EB5A35" w:rsidP="00EB5A35">
            <w:pPr>
              <w:spacing w:after="0" w:line="240" w:lineRule="auto"/>
              <w:jc w:val="center"/>
              <w:rPr>
                <w:rFonts w:ascii="Calibri" w:eastAsia="Times New Roman" w:hAnsi="Calibri" w:cs="Calibri"/>
                <w:color w:val="FFFFFF"/>
                <w:lang w:eastAsia="tr-TR"/>
              </w:rPr>
            </w:pPr>
            <w:r w:rsidRPr="00EB5A35">
              <w:rPr>
                <w:rFonts w:ascii="Calibri" w:eastAsia="Times New Roman" w:hAnsi="Calibri" w:cs="Calibri"/>
                <w:color w:val="FFFFFF"/>
                <w:lang w:eastAsia="tr-TR"/>
              </w:rPr>
              <w:t>Subject</w:t>
            </w:r>
          </w:p>
        </w:tc>
        <w:tc>
          <w:tcPr>
            <w:tcW w:w="495"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524F9D" w:rsidP="00EB5A35">
            <w:pPr>
              <w:spacing w:after="0" w:line="240" w:lineRule="auto"/>
              <w:jc w:val="center"/>
              <w:rPr>
                <w:rFonts w:ascii="Calibri" w:eastAsia="Times New Roman" w:hAnsi="Calibri" w:cs="Calibri"/>
                <w:color w:val="FFFFFF"/>
                <w:lang w:eastAsia="tr-TR"/>
              </w:rPr>
            </w:pPr>
            <w:r>
              <w:rPr>
                <w:rFonts w:ascii="Calibri" w:eastAsia="Times New Roman" w:hAnsi="Calibri" w:cs="Calibri"/>
                <w:color w:val="FFFFFF"/>
                <w:lang w:eastAsia="tr-TR"/>
              </w:rPr>
              <w:t>S</w:t>
            </w:r>
          </w:p>
        </w:tc>
        <w:tc>
          <w:tcPr>
            <w:tcW w:w="494"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524F9D" w:rsidP="00EB5A35">
            <w:pPr>
              <w:spacing w:after="0" w:line="240" w:lineRule="auto"/>
              <w:jc w:val="center"/>
              <w:rPr>
                <w:rFonts w:ascii="Calibri" w:eastAsia="Times New Roman" w:hAnsi="Calibri" w:cs="Calibri"/>
                <w:color w:val="FFFFFF"/>
                <w:lang w:eastAsia="tr-TR"/>
              </w:rPr>
            </w:pPr>
            <w:r>
              <w:rPr>
                <w:rFonts w:ascii="Calibri" w:eastAsia="Times New Roman" w:hAnsi="Calibri" w:cs="Calibri"/>
                <w:color w:val="FFFFFF"/>
                <w:lang w:eastAsia="tr-TR"/>
              </w:rPr>
              <w:t>N/S</w:t>
            </w:r>
          </w:p>
        </w:tc>
        <w:tc>
          <w:tcPr>
            <w:tcW w:w="502"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524F9D" w:rsidP="00EB5A35">
            <w:pPr>
              <w:spacing w:after="0" w:line="240" w:lineRule="auto"/>
              <w:jc w:val="center"/>
              <w:rPr>
                <w:rFonts w:ascii="Calibri" w:eastAsia="Times New Roman" w:hAnsi="Calibri" w:cs="Calibri"/>
                <w:color w:val="FFFFFF"/>
                <w:lang w:eastAsia="tr-TR"/>
              </w:rPr>
            </w:pPr>
            <w:r>
              <w:rPr>
                <w:rFonts w:ascii="Calibri" w:eastAsia="Times New Roman" w:hAnsi="Calibri" w:cs="Calibri"/>
                <w:color w:val="FFFFFF"/>
                <w:lang w:eastAsia="tr-TR"/>
              </w:rPr>
              <w:t>N/A</w:t>
            </w:r>
          </w:p>
        </w:tc>
        <w:tc>
          <w:tcPr>
            <w:tcW w:w="487"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EB5A35" w:rsidP="00EB5A35">
            <w:pPr>
              <w:spacing w:after="0" w:line="240" w:lineRule="auto"/>
              <w:jc w:val="center"/>
              <w:rPr>
                <w:rFonts w:ascii="Calibri" w:eastAsia="Times New Roman" w:hAnsi="Calibri" w:cs="Calibri"/>
                <w:color w:val="FFFFFF"/>
                <w:lang w:eastAsia="tr-TR"/>
              </w:rPr>
            </w:pPr>
            <w:r w:rsidRPr="00EB5A35">
              <w:rPr>
                <w:rFonts w:ascii="Calibri" w:eastAsia="Times New Roman" w:hAnsi="Calibri" w:cs="Calibri"/>
                <w:color w:val="FFFFFF"/>
                <w:lang w:eastAsia="tr-TR"/>
              </w:rPr>
              <w:t>N/R</w:t>
            </w:r>
          </w:p>
        </w:tc>
        <w:tc>
          <w:tcPr>
            <w:tcW w:w="419"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EB5A35" w:rsidP="00EB5A35">
            <w:pPr>
              <w:spacing w:after="0" w:line="240" w:lineRule="auto"/>
              <w:jc w:val="center"/>
              <w:rPr>
                <w:rFonts w:ascii="Calibri" w:eastAsia="Times New Roman" w:hAnsi="Calibri" w:cs="Calibri"/>
                <w:color w:val="FFFFFF"/>
                <w:lang w:eastAsia="tr-TR"/>
              </w:rPr>
            </w:pPr>
            <w:r w:rsidRPr="00EB5A35">
              <w:rPr>
                <w:rFonts w:ascii="Calibri" w:eastAsia="Times New Roman" w:hAnsi="Calibri" w:cs="Calibri"/>
                <w:color w:val="FFFFFF"/>
                <w:lang w:eastAsia="tr-TR"/>
              </w:rPr>
              <w:t>F/L</w:t>
            </w:r>
          </w:p>
        </w:tc>
        <w:tc>
          <w:tcPr>
            <w:tcW w:w="446"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EB5A35" w:rsidP="00EB5A35">
            <w:pPr>
              <w:spacing w:after="0" w:line="240" w:lineRule="auto"/>
              <w:jc w:val="center"/>
              <w:rPr>
                <w:rFonts w:ascii="Calibri" w:eastAsia="Times New Roman" w:hAnsi="Calibri" w:cs="Calibri"/>
                <w:color w:val="FFFFFF"/>
                <w:lang w:eastAsia="tr-TR"/>
              </w:rPr>
            </w:pPr>
            <w:r w:rsidRPr="00EB5A35">
              <w:rPr>
                <w:rFonts w:ascii="Calibri" w:eastAsia="Times New Roman" w:hAnsi="Calibri" w:cs="Calibri"/>
                <w:color w:val="FFFFFF"/>
                <w:lang w:eastAsia="tr-TR"/>
              </w:rPr>
              <w:t>R/F</w:t>
            </w:r>
          </w:p>
        </w:tc>
        <w:tc>
          <w:tcPr>
            <w:tcW w:w="4971" w:type="dxa"/>
            <w:tcBorders>
              <w:top w:val="single" w:sz="4" w:space="0" w:color="3366FF"/>
              <w:left w:val="nil"/>
              <w:bottom w:val="single" w:sz="4" w:space="0" w:color="3366FF"/>
              <w:right w:val="single" w:sz="4" w:space="0" w:color="3366FF"/>
            </w:tcBorders>
            <w:shd w:val="clear" w:color="000000" w:fill="3366FF"/>
            <w:vAlign w:val="center"/>
            <w:hideMark/>
          </w:tcPr>
          <w:p w:rsidR="00EB5A35" w:rsidRPr="00EB5A35" w:rsidRDefault="00EB5A35" w:rsidP="00EB5A35">
            <w:pPr>
              <w:spacing w:after="0" w:line="240" w:lineRule="auto"/>
              <w:jc w:val="center"/>
              <w:rPr>
                <w:rFonts w:ascii="Calibri" w:eastAsia="Times New Roman" w:hAnsi="Calibri" w:cs="Calibri"/>
                <w:color w:val="FFFFFF"/>
                <w:lang w:eastAsia="tr-TR"/>
              </w:rPr>
            </w:pPr>
            <w:r w:rsidRPr="00EB5A35">
              <w:rPr>
                <w:rFonts w:ascii="Calibri" w:eastAsia="Times New Roman" w:hAnsi="Calibri" w:cs="Calibri"/>
                <w:color w:val="FFFFFF"/>
                <w:lang w:eastAsia="tr-TR"/>
              </w:rPr>
              <w:t>Remarks</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.015 Başvuru</w:t>
            </w:r>
          </w:p>
        </w:tc>
      </w:tr>
      <w:tr w:rsidR="00E87416" w:rsidRPr="00EB5A35" w:rsidTr="00B454C7">
        <w:trPr>
          <w:trHeight w:val="406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.015</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Kuruluşlar, Genel Müdürlüğe başvurularında Form 2-CAO ve Genel Müdürlük resmi internet sayfasında yayınlanan başvuru formları ile müracaat ederler.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xml:space="preserve">An application should be made on an SHGM Form 2 (Appendix III to AMC1 </w:t>
            </w:r>
            <w:proofErr w:type="gramStart"/>
            <w:r w:rsidRPr="00EB5A35">
              <w:rPr>
                <w:rFonts w:ascii="Calibri" w:eastAsia="Times New Roman" w:hAnsi="Calibri" w:cs="Calibri"/>
                <w:color w:val="FFFFFF"/>
                <w:lang w:eastAsia="tr-TR"/>
              </w:rPr>
              <w:t>CAO.A</w:t>
            </w:r>
            <w:proofErr w:type="gramEnd"/>
            <w:r w:rsidRPr="00EB5A35">
              <w:rPr>
                <w:rFonts w:ascii="Calibri" w:eastAsia="Times New Roman" w:hAnsi="Calibri" w:cs="Calibri"/>
                <w:color w:val="FFFFFF"/>
                <w:lang w:eastAsia="tr-TR"/>
              </w:rPr>
              <w:t>.015) or an equivalent</w:t>
            </w:r>
            <w:r w:rsidRPr="00EB5A35">
              <w:rPr>
                <w:rFonts w:ascii="Calibri" w:eastAsia="Times New Roman" w:hAnsi="Calibri" w:cs="Calibri"/>
                <w:color w:val="FFFFFF"/>
                <w:lang w:eastAsia="tr-TR"/>
              </w:rPr>
              <w:br/>
              <w:t>form that is acceptable to the competent authority.</w:t>
            </w:r>
            <w:r w:rsidRPr="00EB5A35">
              <w:rPr>
                <w:rFonts w:ascii="Calibri" w:eastAsia="Times New Roman" w:hAnsi="Calibri" w:cs="Calibri"/>
                <w:color w:val="FFFFFF"/>
                <w:lang w:eastAsia="tr-TR"/>
              </w:rPr>
              <w:br/>
              <w:t>Draft documents should be submitted at the earliest opportunity so that the assessment of the</w:t>
            </w:r>
            <w:r w:rsidRPr="00EB5A35">
              <w:rPr>
                <w:rFonts w:ascii="Calibri" w:eastAsia="Times New Roman" w:hAnsi="Calibri" w:cs="Calibri"/>
                <w:color w:val="FFFFFF"/>
                <w:lang w:eastAsia="tr-TR"/>
              </w:rPr>
              <w:br/>
              <w:t>application can begin. The initial certification or approval of changes cannot take place until the</w:t>
            </w:r>
            <w:r w:rsidRPr="00EB5A35">
              <w:rPr>
                <w:rFonts w:ascii="Calibri" w:eastAsia="Times New Roman" w:hAnsi="Calibri" w:cs="Calibri"/>
                <w:color w:val="FFFFFF"/>
                <w:lang w:eastAsia="tr-TR"/>
              </w:rPr>
              <w:br/>
              <w:t>competent authority has received the completed documents.</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.020 Onay koşulları</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000000" w:fill="FFFFFF"/>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.020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Kuruluş, onay kapsamını,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.025 maddesine göre hazırladığı birleşik uçuşa elverişlilik el kitabı (CAE) içerisinde tanımlar.</w:t>
            </w:r>
          </w:p>
        </w:tc>
        <w:tc>
          <w:tcPr>
            <w:tcW w:w="495"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Each category or type of aircraft specified in the scope of work is to be completed with the privileges</w:t>
            </w:r>
            <w:r w:rsidRPr="00EB5A35">
              <w:rPr>
                <w:rFonts w:ascii="Calibri" w:eastAsia="Times New Roman" w:hAnsi="Calibri" w:cs="Calibri"/>
                <w:color w:val="FFFFFF"/>
                <w:lang w:eastAsia="tr-TR"/>
              </w:rPr>
              <w:br/>
              <w:t>held (maintenance, continuing airworthiness management, airworthiness review, permit to fly) for that aircraft category or type.</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000000" w:fill="FFFFFF"/>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.020(b)</w:t>
            </w:r>
          </w:p>
        </w:tc>
        <w:tc>
          <w:tcPr>
            <w:tcW w:w="480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Kuruluşun onay kapsamı, Genel Müdürlükçe yayınlanan Form 3-CAO onay sertifikasında belirtilir.</w:t>
            </w:r>
          </w:p>
        </w:tc>
        <w:tc>
          <w:tcPr>
            <w:tcW w:w="495"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bookmarkStart w:id="0" w:name="_GoBack"/>
            <w:bookmarkEnd w:id="0"/>
          </w:p>
        </w:tc>
      </w:tr>
      <w:tr w:rsidR="00E87416" w:rsidRPr="00EB5A35" w:rsidTr="00B454C7">
        <w:trPr>
          <w:trHeight w:val="1120"/>
        </w:trPr>
        <w:tc>
          <w:tcPr>
            <w:tcW w:w="1560" w:type="dxa"/>
            <w:tcBorders>
              <w:top w:val="nil"/>
              <w:left w:val="single" w:sz="4" w:space="0" w:color="3366FF"/>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jc w:val="center"/>
              <w:rPr>
                <w:rFonts w:ascii="Calibri" w:eastAsia="Times New Roman" w:hAnsi="Calibri" w:cs="Calibri"/>
                <w:lang w:eastAsia="tr-TR"/>
              </w:rPr>
            </w:pPr>
            <w:r w:rsidRPr="00EB5A35">
              <w:rPr>
                <w:rFonts w:ascii="Calibri" w:eastAsia="Times New Roman" w:hAnsi="Calibri" w:cs="Calibri"/>
                <w:lang w:eastAsia="tr-TR"/>
              </w:rPr>
              <w:lastRenderedPageBreak/>
              <w:t>AAD-1</w:t>
            </w:r>
          </w:p>
        </w:tc>
        <w:tc>
          <w:tcPr>
            <w:tcW w:w="1842" w:type="dxa"/>
            <w:tcBorders>
              <w:top w:val="nil"/>
              <w:left w:val="nil"/>
              <w:bottom w:val="nil"/>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lang w:eastAsia="tr-TR"/>
              </w:rPr>
            </w:pPr>
          </w:p>
        </w:tc>
        <w:tc>
          <w:tcPr>
            <w:tcW w:w="4802" w:type="dxa"/>
            <w:tcBorders>
              <w:top w:val="nil"/>
              <w:left w:val="single" w:sz="4" w:space="0" w:color="3366FF"/>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Genel Müdürlük tarafından verilen onay sınıfı ve kategorileri kapsamında onayın kati sınırları kuruluş CAE'sinde tanımlanır. Dolayısıyla, CAE'de tanımlanan yetki sınırları kuruluş onay sertifikası ile uyumlu olmak zorundadır.</w:t>
            </w:r>
          </w:p>
        </w:tc>
        <w:tc>
          <w:tcPr>
            <w:tcW w:w="495"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000000" w:fill="FFFFFF"/>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Birleşik uçuşa elverişlilik el kitabı</w:t>
            </w:r>
          </w:p>
        </w:tc>
      </w:tr>
      <w:tr w:rsidR="00E87416" w:rsidRPr="00EB5A35" w:rsidTr="00B454C7">
        <w:trPr>
          <w:trHeight w:val="87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4</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nil"/>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CAO asgari aşağıdaki bilgileri içeren bir el kitabı (CAE ) hazırlar.</w:t>
            </w:r>
          </w:p>
        </w:tc>
        <w:tc>
          <w:tcPr>
            <w:tcW w:w="495" w:type="dxa"/>
            <w:tcBorders>
              <w:top w:val="nil"/>
              <w:left w:val="single" w:sz="4" w:space="0" w:color="3366FF"/>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Personnel should be familiar with those parts of the CAE that are relevant to their tasks.</w:t>
            </w:r>
          </w:p>
        </w:tc>
      </w:tr>
      <w:tr w:rsidR="00E87416" w:rsidRPr="00EB5A35" w:rsidTr="00B454C7">
        <w:trPr>
          <w:trHeight w:val="87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Sorumlu yönetici tarafından imzalanan ve kuruluşun her zaman Part-CAO ve onaylı CAE ile uyumlu olarak çalışacağını teyit eden bir beyan,</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CAE onay kapsamı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CAO.035 (a) ve (b)'de belirtilen kişilerin unvanları ve isimleri</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CAO.035 (a) ve (b) maddelerinde belirtilen tüm kişi (ler) arasındaki ilişkiyi, hesap verebilirlik ve sorumluluk zincirlerini gösteren bir organizasyon şeması,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AAD-5</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Mevcut olması durumunda, yetki kapsamlarını içeren bakım programı geliştirme ve onayından sorumlu personelin listesi,</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AAD-6</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Mevcut olması durumunda, yetki kapsamlarını içeren uçuşa elverişlilik gözden geçirme personeli listesi,</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AAD-7</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Mevcut olması durumunda, özel uçuş izni yayınlamaktan sorumlu personelin listesi,</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AAD-8</w:t>
            </w:r>
          </w:p>
        </w:tc>
        <w:tc>
          <w:tcPr>
            <w:tcW w:w="1842"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Tesislerin yeri ve genel tanımı,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524F9D">
        <w:trPr>
          <w:trHeight w:val="580"/>
        </w:trPr>
        <w:tc>
          <w:tcPr>
            <w:tcW w:w="1560" w:type="dxa"/>
            <w:tcBorders>
              <w:top w:val="single" w:sz="4" w:space="0" w:color="2E74B5" w:themeColor="accent1" w:themeShade="BF"/>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AAD-9</w:t>
            </w:r>
          </w:p>
        </w:tc>
        <w:tc>
          <w:tcPr>
            <w:tcW w:w="1842"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CAO'nun Part-CAO gerekliliklerine nasıl uyacağına ilişkin </w:t>
            </w:r>
            <w:proofErr w:type="gramStart"/>
            <w:r w:rsidRPr="00EB5A35">
              <w:rPr>
                <w:rFonts w:ascii="Calibri" w:eastAsia="Times New Roman" w:hAnsi="Calibri" w:cs="Calibri"/>
                <w:lang w:eastAsia="tr-TR"/>
              </w:rPr>
              <w:t>prosedürler</w:t>
            </w:r>
            <w:proofErr w:type="gramEnd"/>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524F9D"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p w:rsidR="00EB5A35" w:rsidRPr="00EB5A35" w:rsidRDefault="00EB5A35" w:rsidP="00EB5A35">
            <w:pPr>
              <w:spacing w:after="0" w:line="240" w:lineRule="auto"/>
              <w:rPr>
                <w:rFonts w:ascii="Calibri" w:eastAsia="Times New Roman" w:hAnsi="Calibri" w:cs="Calibri"/>
                <w:color w:val="000000"/>
                <w:lang w:eastAsia="tr-TR"/>
              </w:rPr>
            </w:pP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
        </w:trPr>
        <w:tc>
          <w:tcPr>
            <w:tcW w:w="1560" w:type="dxa"/>
            <w:tcBorders>
              <w:top w:val="nil"/>
              <w:left w:val="single" w:sz="4" w:space="0" w:color="3366FF"/>
              <w:bottom w:val="single" w:sz="4" w:space="0" w:color="3366FF"/>
              <w:right w:val="nil"/>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.105 (b)'de belirtilen CAE değişiklik prosedürü.</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.030 Tesisler</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.030</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Kuruluş, tüm planlı işlerin uygun şekilde gerçekleştirilebilmesi için uygun ofis yerleşimi </w:t>
            </w:r>
            <w:proofErr w:type="gramStart"/>
            <w:r w:rsidRPr="00EB5A35">
              <w:rPr>
                <w:rFonts w:ascii="Calibri" w:eastAsia="Times New Roman" w:hAnsi="Calibri" w:cs="Calibri"/>
                <w:lang w:eastAsia="tr-TR"/>
              </w:rPr>
              <w:t>dahil</w:t>
            </w:r>
            <w:proofErr w:type="gramEnd"/>
            <w:r w:rsidRPr="00EB5A35">
              <w:rPr>
                <w:rFonts w:ascii="Calibri" w:eastAsia="Times New Roman" w:hAnsi="Calibri" w:cs="Calibri"/>
                <w:lang w:eastAsia="tr-TR"/>
              </w:rPr>
              <w:t xml:space="preserve"> tüm gerekli tesisleri sağlar.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 Personel gereklilikleri</w:t>
            </w:r>
          </w:p>
        </w:tc>
      </w:tr>
      <w:tr w:rsidR="00E87416" w:rsidRPr="00EB5A35" w:rsidTr="00B454C7">
        <w:trPr>
          <w:trHeight w:val="116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6</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Kuruluş, tüm sürekli uçuşa elverişlilik yönetimi faaliyetlerinin finanse edilebilmesini ve mevzuat gerekliliklerine uygun şekilde yürütülebilmesini sağlayan kurumsal yetkiye sahip bir Sorumlu Müdür atar.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7</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Sorumlu Müdür, CAO'nun bu Talimat ile sürekli uyumlu şekilde kalmasını sağlamaktan sorumlu bir kişi veya kişiler grubunu atar. Bu kişi veya kişiler, nihai olarak Sorumlu Müdüre karşı sorumlu olur.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8</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 (c)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Bu Talimat ile sürekli uyumlu şekilde kalmasını sağlamaktan sorumlu atanan kişi veya kişiler, görev pozisyonlarına uygun olarak hava aracı sürekli uçuşa elverişlilik yönetimi ile ilgili bilgi, geçmiş ve yeterli deneyime sahip olduğunu gösterir.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.035(b) maddesi kapsamında tayin edilen kişi veya kişiler grubu aşağıdaki özellikleri taşır;</w:t>
            </w:r>
            <w:r w:rsidRPr="00EB5A35">
              <w:rPr>
                <w:rFonts w:ascii="Calibri" w:eastAsia="Times New Roman" w:hAnsi="Calibri" w:cs="Calibri"/>
                <w:color w:val="000000"/>
                <w:lang w:eastAsia="tr-TR"/>
              </w:rPr>
              <w:br/>
              <w:t>(a) Havacılık emniyet standartlarının ve emniyetli operasyonel uygulamaların yerine getirilmesinde pratik deneyime ve uzmanlığa sahip olmak,</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524F9D">
        <w:trPr>
          <w:trHeight w:val="115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AAD-2</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.035(c)</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Part-M, Part-ML ve ilgili gereklilikler, </w:t>
            </w:r>
            <w:proofErr w:type="gramStart"/>
            <w:r w:rsidRPr="00EB5A35">
              <w:rPr>
                <w:rFonts w:ascii="Calibri" w:eastAsia="Times New Roman" w:hAnsi="Calibri" w:cs="Calibri"/>
                <w:color w:val="000000"/>
                <w:lang w:eastAsia="tr-TR"/>
              </w:rPr>
              <w:t>prosedürler</w:t>
            </w:r>
            <w:proofErr w:type="gramEnd"/>
            <w:r w:rsidRPr="00EB5A35">
              <w:rPr>
                <w:rFonts w:ascii="Calibri" w:eastAsia="Times New Roman" w:hAnsi="Calibri" w:cs="Calibri"/>
                <w:color w:val="000000"/>
                <w:lang w:eastAsia="tr-TR"/>
              </w:rPr>
              <w:t xml:space="preserve"> hakkında kapsamlı bilgiye sahip olmak,</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CAE ve kuruluş </w:t>
            </w:r>
            <w:proofErr w:type="gramStart"/>
            <w:r w:rsidRPr="00EB5A35">
              <w:rPr>
                <w:rFonts w:ascii="Calibri" w:eastAsia="Times New Roman" w:hAnsi="Calibri" w:cs="Calibri"/>
                <w:color w:val="000000"/>
                <w:lang w:eastAsia="tr-TR"/>
              </w:rPr>
              <w:t>prosedürleri</w:t>
            </w:r>
            <w:proofErr w:type="gramEnd"/>
            <w:r w:rsidRPr="00EB5A35">
              <w:rPr>
                <w:rFonts w:ascii="Calibri" w:eastAsia="Times New Roman" w:hAnsi="Calibri" w:cs="Calibri"/>
                <w:color w:val="000000"/>
                <w:lang w:eastAsia="tr-TR"/>
              </w:rPr>
              <w:t xml:space="preserve"> hakkında kapsamlı bilgiye sahip olmak,</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En az iki yılı havacılık sektöründe uygun bir pozisyonda olmak üzere, beş yıllık havacılık tecrübesine sahip olmak;</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Onay kapsamında yer alan ilgili örnek hava aracı tipi veya komponentine ait bilgi sahibi olmak. 'İlgili örnek hava aracı', bu eğitimlerin söz konusu onay kapsamında olan ve hava araçlarında yer alan tipik sistemleri içermesi gerektiği anlamına gelmektedir.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xml:space="preserve">Bu bilgi, resmi bir eğitim </w:t>
            </w:r>
            <w:proofErr w:type="gramStart"/>
            <w:r w:rsidRPr="00EB5A35">
              <w:rPr>
                <w:rFonts w:ascii="Calibri" w:eastAsia="Times New Roman" w:hAnsi="Calibri" w:cs="Calibri"/>
                <w:color w:val="FFFFFF"/>
                <w:lang w:eastAsia="tr-TR"/>
              </w:rPr>
              <w:t>yada</w:t>
            </w:r>
            <w:proofErr w:type="gramEnd"/>
            <w:r w:rsidRPr="00EB5A35">
              <w:rPr>
                <w:rFonts w:ascii="Calibri" w:eastAsia="Times New Roman" w:hAnsi="Calibri" w:cs="Calibri"/>
                <w:color w:val="FFFFFF"/>
                <w:lang w:eastAsia="tr-TR"/>
              </w:rPr>
              <w:t xml:space="preserve"> Genel Müdürlükçe gerçekleştirilecek mülakat yolu ile gösterilebilir. Bu eğitimler en azından SHT-66, Ek 3, Seviye 1'e eşdeğer bir seviyede olmalıdır ve bir SHT-147 / EASA Part-147 kuruluşu tarafından, imalatçı tarafından veya Genel Müdürlük tarafından kabul edilen başka bir kuruluş tarafından verilebilir.</w:t>
            </w:r>
          </w:p>
        </w:tc>
      </w:tr>
      <w:tr w:rsidR="00E87416" w:rsidRPr="00EB5A35" w:rsidTr="00B454C7">
        <w:trPr>
          <w:trHeight w:val="11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AAD-6</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Kalite sistemi veya organizasyonel gözden geçirme sistemine ilişkin bilgi sahibi olmak</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524F9D">
        <w:trPr>
          <w:trHeight w:val="115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AAD-7</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.035(c)</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Bakım standartları ve insan faktörleri hakkında bilgi sahibi olmak.</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9</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 (d)</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Kuruluş, planlanan işlerin gerçekleştirilebilmesi için gerekli olan yeterli sayıda ve nitelikte personele sahip olur. Kuruluş, geçici sözleşmeli personel kullanabilir.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10</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 (e)</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Kuruluş, tüm personelinin yetkinliğini değerlendirir ve kayıt altına alır.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.035(e)</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Personnel involved in maintenance and continuing airworthiness management should be assessed for competence by ‘on-the-job’ evaluation and/or by examination relevant to their particular job role within the organisation before unsupervised work is permitted.</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.035(e)</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Adequate initial and recurrent training should be provided and recorded to ensure continued</w:t>
            </w:r>
            <w:r w:rsidRPr="00EB5A35">
              <w:rPr>
                <w:rFonts w:ascii="Calibri" w:eastAsia="Times New Roman" w:hAnsi="Calibri" w:cs="Calibri"/>
                <w:color w:val="000000"/>
                <w:lang w:eastAsia="tr-TR"/>
              </w:rPr>
              <w:br/>
              <w:t>competence.</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.045 Uçuşa elverişlilik gözden geçirme personeli</w:t>
            </w:r>
          </w:p>
        </w:tc>
      </w:tr>
      <w:tr w:rsidR="00E87416" w:rsidRPr="00EB5A35" w:rsidTr="00524F9D">
        <w:trPr>
          <w:trHeight w:val="5510"/>
        </w:trPr>
        <w:tc>
          <w:tcPr>
            <w:tcW w:w="1560" w:type="dxa"/>
            <w:tcBorders>
              <w:top w:val="single" w:sz="4" w:space="0" w:color="2E74B5" w:themeColor="accent1" w:themeShade="BF"/>
              <w:left w:val="single" w:sz="4" w:space="0" w:color="3366FF"/>
              <w:bottom w:val="single" w:sz="4" w:space="0" w:color="2E74B5" w:themeColor="accent1" w:themeShade="B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11</w:t>
            </w:r>
          </w:p>
        </w:tc>
        <w:tc>
          <w:tcPr>
            <w:tcW w:w="1842"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.045 (a)</w:t>
            </w:r>
          </w:p>
        </w:tc>
        <w:tc>
          <w:tcPr>
            <w:tcW w:w="4802"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Uçuşa elverişlilik gözden geçirme ve uygulanabilir olduğunda uçuş izni onaylama işlemi gerçekleştirmek üzere onaylanabilmesi için CAO </w:t>
            </w: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.045 (a) gereklilikleri sağlayan uçuşa elverişlilik gözden geçirme personeline sahip olur.</w:t>
            </w:r>
          </w:p>
        </w:tc>
        <w:tc>
          <w:tcPr>
            <w:tcW w:w="495"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2E74B5" w:themeColor="accent1" w:themeShade="B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2E74B5" w:themeColor="accent1" w:themeShade="B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Airworthiness review staff already authorised to perform airworthiness review for an</w:t>
            </w:r>
            <w:r w:rsidRPr="00EB5A35">
              <w:rPr>
                <w:rFonts w:ascii="Calibri" w:eastAsia="Times New Roman" w:hAnsi="Calibri" w:cs="Calibri"/>
                <w:color w:val="FFFFFF"/>
                <w:lang w:eastAsia="tr-TR"/>
              </w:rPr>
              <w:br/>
              <w:t>organisation approved in accordance Part-M Subpart F, Part-M Subpart G, Part-CAMO or Part-</w:t>
            </w:r>
            <w:r w:rsidRPr="00EB5A35">
              <w:rPr>
                <w:rFonts w:ascii="Calibri" w:eastAsia="Times New Roman" w:hAnsi="Calibri" w:cs="Calibri"/>
                <w:color w:val="FFFFFF"/>
                <w:lang w:eastAsia="tr-TR"/>
              </w:rPr>
              <w:br/>
              <w:t>145 is considered to be authorised in accordance with Part-CAO when such organisation applies</w:t>
            </w:r>
            <w:r w:rsidRPr="00EB5A35">
              <w:rPr>
                <w:rFonts w:ascii="Calibri" w:eastAsia="Times New Roman" w:hAnsi="Calibri" w:cs="Calibri"/>
                <w:color w:val="FFFFFF"/>
                <w:lang w:eastAsia="tr-TR"/>
              </w:rPr>
              <w:br/>
              <w:t>for a Part-CAO approval. This means that no additional supervision is needed to be authorised</w:t>
            </w:r>
            <w:r w:rsidRPr="00EB5A35">
              <w:rPr>
                <w:rFonts w:ascii="Calibri" w:eastAsia="Times New Roman" w:hAnsi="Calibri" w:cs="Calibri"/>
                <w:color w:val="FFFFFF"/>
                <w:lang w:eastAsia="tr-TR"/>
              </w:rPr>
              <w:br/>
              <w:t>to be accepted to continue carrying out airworthiness reviews. This does not supersede the</w:t>
            </w:r>
            <w:r w:rsidRPr="00EB5A35">
              <w:rPr>
                <w:rFonts w:ascii="Calibri" w:eastAsia="Times New Roman" w:hAnsi="Calibri" w:cs="Calibri"/>
                <w:color w:val="FFFFFF"/>
                <w:lang w:eastAsia="tr-TR"/>
              </w:rPr>
              <w:br/>
              <w:t>requirement for the organisation to ensure that all personnel is competent for the job they are</w:t>
            </w:r>
            <w:r w:rsidRPr="00EB5A35">
              <w:rPr>
                <w:rFonts w:ascii="Calibri" w:eastAsia="Times New Roman" w:hAnsi="Calibri" w:cs="Calibri"/>
                <w:color w:val="FFFFFF"/>
                <w:lang w:eastAsia="tr-TR"/>
              </w:rPr>
              <w:br/>
              <w:t>authorised.</w:t>
            </w:r>
          </w:p>
        </w:tc>
      </w:tr>
      <w:tr w:rsidR="00E87416" w:rsidRPr="00EB5A35" w:rsidTr="00524F9D">
        <w:trPr>
          <w:trHeight w:val="261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nil"/>
              <w:right w:val="nil"/>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Sürekli uçuşa elverişlilik konusunda planör ve balonlarda en az bir yıl ve diğer hava araçlarında 3 yıllık deneyime sahip olma,</w:t>
            </w:r>
          </w:p>
        </w:tc>
        <w:tc>
          <w:tcPr>
            <w:tcW w:w="495" w:type="dxa"/>
            <w:tcBorders>
              <w:top w:val="nil"/>
              <w:left w:val="single" w:sz="4" w:space="0" w:color="3366FF"/>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xml:space="preserve">‘Experience in continuing airworthiness’ in </w:t>
            </w:r>
            <w:proofErr w:type="gramStart"/>
            <w:r w:rsidRPr="00EB5A35">
              <w:rPr>
                <w:rFonts w:ascii="Calibri" w:eastAsia="Times New Roman" w:hAnsi="Calibri" w:cs="Calibri"/>
                <w:color w:val="FFFFFF"/>
                <w:lang w:eastAsia="tr-TR"/>
              </w:rPr>
              <w:t>CAO.A</w:t>
            </w:r>
            <w:proofErr w:type="gramEnd"/>
            <w:r w:rsidRPr="00EB5A35">
              <w:rPr>
                <w:rFonts w:ascii="Calibri" w:eastAsia="Times New Roman" w:hAnsi="Calibri" w:cs="Calibri"/>
                <w:color w:val="FFFFFF"/>
                <w:lang w:eastAsia="tr-TR"/>
              </w:rPr>
              <w:t>.045(a) refers to any appropriate combination</w:t>
            </w:r>
            <w:r w:rsidRPr="00EB5A35">
              <w:rPr>
                <w:rFonts w:ascii="Calibri" w:eastAsia="Times New Roman" w:hAnsi="Calibri" w:cs="Calibri"/>
                <w:color w:val="FFFFFF"/>
                <w:lang w:eastAsia="tr-TR"/>
              </w:rPr>
              <w:br/>
              <w:t>of experience in tasks related to aircraft maintenance and/or continuing airworthiness</w:t>
            </w:r>
            <w:r w:rsidRPr="00EB5A35">
              <w:rPr>
                <w:rFonts w:ascii="Calibri" w:eastAsia="Times New Roman" w:hAnsi="Calibri" w:cs="Calibri"/>
                <w:color w:val="FFFFFF"/>
                <w:lang w:eastAsia="tr-TR"/>
              </w:rPr>
              <w:br/>
              <w:t>management and/or surveillance of such tasks.</w:t>
            </w:r>
          </w:p>
        </w:tc>
      </w:tr>
      <w:tr w:rsidR="00E87416" w:rsidRPr="00EB5A35" w:rsidTr="00524F9D">
        <w:trPr>
          <w:trHeight w:val="406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AAD-2</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HBL-66 lisansı veya havacılık ile ilgili lisans diploması veya bunların ulusal eşdeğerini edinmiş olma veya 1inci bende ilave olarak planör ve balonlar için en az 2 yıl ve diğer hava araçları için 4 yıllık sürekli uçuşa elverişlilik konusunda deneyime sahip olma,</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A person that holds a relevant engineering degree or an aircraft maintenance technician</w:t>
            </w:r>
            <w:r w:rsidRPr="00EB5A35">
              <w:rPr>
                <w:rFonts w:ascii="Calibri" w:eastAsia="Times New Roman" w:hAnsi="Calibri" w:cs="Calibri"/>
                <w:color w:val="FFFFFF"/>
                <w:lang w:eastAsia="tr-TR"/>
              </w:rPr>
              <w:br/>
              <w:t>qualification with additional education should be considered as holding the equivalent to an</w:t>
            </w:r>
            <w:r w:rsidRPr="00EB5A35">
              <w:rPr>
                <w:rFonts w:ascii="Calibri" w:eastAsia="Times New Roman" w:hAnsi="Calibri" w:cs="Calibri"/>
                <w:color w:val="FFFFFF"/>
                <w:lang w:eastAsia="tr-TR"/>
              </w:rPr>
              <w:br/>
              <w:t>aeronautical degree. ‘Relevant engineering degree’ refers to an engineering degree from</w:t>
            </w:r>
            <w:r w:rsidRPr="00EB5A35">
              <w:rPr>
                <w:rFonts w:ascii="Calibri" w:eastAsia="Times New Roman" w:hAnsi="Calibri" w:cs="Calibri"/>
                <w:color w:val="FFFFFF"/>
                <w:lang w:eastAsia="tr-TR"/>
              </w:rPr>
              <w:br/>
              <w:t>mechanical, electrical, electronic, avionic or other studies relevant to the maintenance and</w:t>
            </w:r>
            <w:r w:rsidRPr="00EB5A35">
              <w:rPr>
                <w:rFonts w:ascii="Calibri" w:eastAsia="Times New Roman" w:hAnsi="Calibri" w:cs="Calibri"/>
                <w:color w:val="FFFFFF"/>
                <w:lang w:eastAsia="tr-TR"/>
              </w:rPr>
              <w:br/>
              <w:t>continuing airworthiness of aircraft/aircraft components.</w:t>
            </w:r>
          </w:p>
        </w:tc>
      </w:tr>
      <w:tr w:rsidR="00E87416" w:rsidRPr="00EB5A35" w:rsidTr="00524F9D">
        <w:trPr>
          <w:trHeight w:val="29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Resmi havacılık bakım eğitimine sahip olma,</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tcPr>
          <w:p w:rsidR="00EB5A35" w:rsidRPr="00EB5A35" w:rsidRDefault="00EB5A35" w:rsidP="00EB5A35">
            <w:pPr>
              <w:spacing w:after="0" w:line="240" w:lineRule="auto"/>
              <w:jc w:val="both"/>
              <w:rPr>
                <w:rFonts w:ascii="Calibri" w:eastAsia="Times New Roman" w:hAnsi="Calibri" w:cs="Calibri"/>
                <w:color w:val="FFFFFF"/>
                <w:lang w:eastAsia="tr-TR"/>
              </w:rPr>
            </w:pPr>
          </w:p>
        </w:tc>
      </w:tr>
      <w:tr w:rsidR="00E87416" w:rsidRPr="00EB5A35" w:rsidTr="00524F9D">
        <w:trPr>
          <w:trHeight w:val="232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.045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Atanan uçuşa elverişlilik gözden geçirme personelinin kuruluş tarafından yetkilendirilmesi sadece; bir uçuşa elverişlilik gözden geçirme işlemini Genel Müdürlüğün veya Genel Müdürlük tarafından onaylanmış bir </w:t>
            </w:r>
            <w:proofErr w:type="gramStart"/>
            <w:r w:rsidRPr="00EB5A35">
              <w:rPr>
                <w:rFonts w:ascii="Calibri" w:eastAsia="Times New Roman" w:hAnsi="Calibri" w:cs="Calibri"/>
                <w:color w:val="000000"/>
                <w:lang w:eastAsia="tr-TR"/>
              </w:rPr>
              <w:t>prosedür</w:t>
            </w:r>
            <w:proofErr w:type="gramEnd"/>
            <w:r w:rsidRPr="00EB5A35">
              <w:rPr>
                <w:rFonts w:ascii="Calibri" w:eastAsia="Times New Roman" w:hAnsi="Calibri" w:cs="Calibri"/>
                <w:color w:val="000000"/>
                <w:lang w:eastAsia="tr-TR"/>
              </w:rPr>
              <w:t xml:space="preserve"> doğrultusunda kuruluşun onaylı uçuşa elverişlilik gözden geçirme personelinin gözetimi altında yeterli bir şekilde tamamlamasının ardından Genel Müdürlük tarafından resmi olarak kabul edildiği taktirde yayınlanabilir.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tcPr>
          <w:p w:rsidR="00EB5A35" w:rsidRPr="00EB5A35" w:rsidRDefault="00EB5A35" w:rsidP="00EB5A35">
            <w:pPr>
              <w:spacing w:after="0" w:line="240" w:lineRule="auto"/>
              <w:jc w:val="both"/>
              <w:rPr>
                <w:rFonts w:ascii="Calibri" w:eastAsia="Times New Roman" w:hAnsi="Calibri" w:cs="Calibri"/>
                <w:color w:val="FFFFFF"/>
                <w:lang w:eastAsia="tr-TR"/>
              </w:rPr>
            </w:pP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.045 (c)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CAO, hava aracı uçuşa elverişlilik gözden geçirme personelinin yakın dönemde uygun sürekli uçuşa elverişlilik yönetimi deneyimini kanıtlayabildiğinden emin olmalıdır.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524F9D">
        <w:trPr>
          <w:trHeight w:val="116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AAD-1</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(1) been involved in continuing airworthiness management activities for at least 6 months in every 2-year period; or</w:t>
            </w:r>
            <w:r w:rsidRPr="00EB5A35">
              <w:rPr>
                <w:rFonts w:ascii="Calibri" w:eastAsia="Times New Roman" w:hAnsi="Calibri" w:cs="Calibri"/>
                <w:color w:val="000000"/>
                <w:lang w:eastAsia="tr-TR"/>
              </w:rPr>
              <w:br/>
              <w:t>(2) conducted at least one airworthiness review in the last 12-month period.</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.045 (d)</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Tüm uçuşa elverişlilik gözden geçirme personeli yetki kapsamları belirtilerek CAE içerisinde listelenir.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.045 (e)</w:t>
            </w:r>
          </w:p>
        </w:tc>
        <w:tc>
          <w:tcPr>
            <w:tcW w:w="480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CAO, tüm uçuşa elverişlilik gözden geçirme personelinin bir kaydını tutacaktır; bu, uygun niteliklerin ayrıntılarını ve ilgili kişinin ilgili sürekli uçuşa elverişlilik deneyimi ve eğitiminin bir özetini ve ayrıca yetkisinin bir kopyasını içerecektir. CAO bu kaydı, ilgili kişinin CAO'dan ayrıldığı tarihten sonra en az 2 yıl süre ile saklar.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6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.075 Sürekli uçuşa elverişlilik yönetimi</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14</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.075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CAO, tüm uçuşa elverişlilik yönetimi faaliyetlerini uygun olduğu şekli ile Part-M veya Part-ML gerekliliklerine uygun şekilde gerçekleştirir.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If the CAO does not hold the appropriate maintenance privilege, then the CAO should conclude a contract with the appropriate maintenance organisation(s) in agreement with the owner/operator.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The contract between the CAO and the maintenance organisation(s) should specify in detail the</w:t>
            </w:r>
            <w:r w:rsidRPr="00EB5A35">
              <w:rPr>
                <w:rFonts w:ascii="Calibri" w:eastAsia="Times New Roman" w:hAnsi="Calibri" w:cs="Calibri"/>
                <w:color w:val="FFFFFF"/>
                <w:lang w:eastAsia="tr-TR"/>
              </w:rPr>
              <w:br/>
              <w:t>responsibilities and the work to be performed by each party.</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15</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.075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Yönetilen her bir hava aracı için CAO; AMP'yi geliştirir ve kontrol eder.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Part-ML kapsamına giren hava araçları için AMP'nin </w:t>
            </w:r>
            <w:proofErr w:type="gramStart"/>
            <w:r w:rsidRPr="00EB5A35">
              <w:rPr>
                <w:rFonts w:ascii="Calibri" w:eastAsia="Times New Roman" w:hAnsi="Calibri" w:cs="Calibri"/>
                <w:lang w:eastAsia="tr-TR"/>
              </w:rPr>
              <w:t>revizyonlarının</w:t>
            </w:r>
            <w:proofErr w:type="gramEnd"/>
            <w:r w:rsidRPr="00EB5A35">
              <w:rPr>
                <w:rFonts w:ascii="Calibri" w:eastAsia="Times New Roman" w:hAnsi="Calibri" w:cs="Calibri"/>
                <w:lang w:eastAsia="tr-TR"/>
              </w:rPr>
              <w:t xml:space="preserve"> onayını yapar,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524F9D">
        <w:trPr>
          <w:trHeight w:val="87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AAD-2</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Part-M kapsamına giren hava araçları için AMP'nin </w:t>
            </w:r>
            <w:proofErr w:type="gramStart"/>
            <w:r w:rsidRPr="00EB5A35">
              <w:rPr>
                <w:rFonts w:ascii="Calibri" w:eastAsia="Times New Roman" w:hAnsi="Calibri" w:cs="Calibri"/>
                <w:lang w:eastAsia="tr-TR"/>
              </w:rPr>
              <w:t>revizyonlarını</w:t>
            </w:r>
            <w:proofErr w:type="gramEnd"/>
            <w:r w:rsidRPr="00EB5A35">
              <w:rPr>
                <w:rFonts w:ascii="Calibri" w:eastAsia="Times New Roman" w:hAnsi="Calibri" w:cs="Calibri"/>
                <w:lang w:eastAsia="tr-TR"/>
              </w:rPr>
              <w:t>, M.A.302 (c) kapsamında dolaylı onay yetkisi olmadığında onaylanması için Genel Müdürlüğe sunar.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AMP'nin bir kopyasını hava aracı sahibine verir,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Tamir ve modifikasyonlar için kullanılan bakım verilerinin M.A.304 veya </w:t>
            </w: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.304 gerekliliklerine uygun olmasını sağlar,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a.) Tasarım kuruluşunun bağlı bulunduğu ülke otoritesi, EASA veya Genel Müdürlük tarafından onaylanmış veriler,</w:t>
            </w:r>
            <w:r w:rsidRPr="00EB5A35">
              <w:rPr>
                <w:rFonts w:ascii="Calibri" w:eastAsia="Times New Roman" w:hAnsi="Calibri" w:cs="Calibri"/>
                <w:color w:val="FFFFFF"/>
                <w:lang w:eastAsia="tr-TR"/>
              </w:rPr>
              <w:br/>
              <w:t>b.) Tasarım kuruluşunun bağlı bulunduğu ülke otoritesinin, EASA'nın veya Genel Müdürlüğün yetkilendirdiği tasarım kuruluşu tarafından SHT-21 (veya EASA Part-21) 'e göre onayladığı veriler,</w:t>
            </w:r>
          </w:p>
        </w:tc>
      </w:tr>
      <w:tr w:rsidR="00E87416" w:rsidRPr="00EB5A35" w:rsidTr="00524F9D">
        <w:trPr>
          <w:trHeight w:val="522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AAD-5</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AMP'ye göre tüm bakım işlemlerinin gerçekleştirilmesi ve Part-M, SHT-145 veya Part-ML'den uygun olanına göre bakım çıkışı yapılmasını sağlar.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proofErr w:type="gramStart"/>
            <w:r w:rsidRPr="00EB5A35">
              <w:rPr>
                <w:rFonts w:ascii="Calibri" w:eastAsia="Times New Roman" w:hAnsi="Calibri" w:cs="Calibri"/>
                <w:color w:val="FFFFFF"/>
                <w:lang w:eastAsia="tr-TR"/>
              </w:rPr>
              <w:t>(a.2) EASA onaylı kuruluş tarafından düzenlenen EASA Form 1,</w:t>
            </w:r>
            <w:r w:rsidRPr="00EB5A35">
              <w:rPr>
                <w:rFonts w:ascii="Calibri" w:eastAsia="Times New Roman" w:hAnsi="Calibri" w:cs="Calibri"/>
                <w:color w:val="FFFFFF"/>
                <w:lang w:eastAsia="tr-TR"/>
              </w:rPr>
              <w:br/>
              <w:t>(a.3) FAA (ABD) onaylı kuruluş tarafından düzenlenen FAA 8130-3,</w:t>
            </w:r>
            <w:r w:rsidRPr="00EB5A35">
              <w:rPr>
                <w:rFonts w:ascii="Calibri" w:eastAsia="Times New Roman" w:hAnsi="Calibri" w:cs="Calibri"/>
                <w:color w:val="FFFFFF"/>
                <w:lang w:eastAsia="tr-TR"/>
              </w:rPr>
              <w:br/>
              <w:t>(a.4) TCCA (Kanada) onaylı kuruluş tarafından düzenlenen TCCA Form One,</w:t>
            </w:r>
            <w:r w:rsidRPr="00EB5A35">
              <w:rPr>
                <w:rFonts w:ascii="Calibri" w:eastAsia="Times New Roman" w:hAnsi="Calibri" w:cs="Calibri"/>
                <w:color w:val="FFFFFF"/>
                <w:lang w:eastAsia="tr-TR"/>
              </w:rPr>
              <w:br/>
              <w:t>(a.5) ANAC (Brezilya) onaylı kuruluş tarafından düzenlenen ANAC Form SEGVOO 003,</w:t>
            </w:r>
            <w:r w:rsidRPr="00EB5A35">
              <w:rPr>
                <w:rFonts w:ascii="Calibri" w:eastAsia="Times New Roman" w:hAnsi="Calibri" w:cs="Calibri"/>
                <w:color w:val="FFFFFF"/>
                <w:lang w:eastAsia="tr-TR"/>
              </w:rPr>
              <w:br/>
              <w:t>(a.6) ( Değişik: 29.12.2023 - 69089 ) Birleşik Krallık Sivil Havacılık Otoritesi ile karşılıklı ikili anlaşmada aksi belirtilmedikçe ilgili otorite tarafından onaylanmış bir kuruluş tarafından düzenlenmiş olan CAA Form 1 dokümanı 01.01.2025 tarihine kadar,</w:t>
            </w:r>
            <w:proofErr w:type="gramEnd"/>
          </w:p>
        </w:tc>
      </w:tr>
      <w:tr w:rsidR="00E87416" w:rsidRPr="00EB5A35" w:rsidTr="00B454C7">
        <w:trPr>
          <w:trHeight w:val="232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AAD-6</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Tüm geçerli AD'lerin ve sürekli uçuşa elverişliliğe etkisi bulnan operasyonel direktiflerin uygulanmasını sağlar,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Genel Müdürlük tarafından aksi belirtilmediği sürece, ilgili hava aracı/komponenti için tasarım kuruluşunun bağlı bulunduğu ülke otoritesi tarafından yayımlanan her bir uçuşa elverişlilik direktifi, ilgili direktifin gerekliliklerine göre uygulanır.</w:t>
            </w:r>
          </w:p>
        </w:tc>
      </w:tr>
      <w:tr w:rsidR="00E87416" w:rsidRPr="00EB5A35" w:rsidTr="00524F9D">
        <w:trPr>
          <w:trHeight w:val="87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AAD-7</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Bakım sırasında ortaya çıkan ya da raporlanan tüm arızaların onaylı bakım kuruluşu veya bağımsız onaylayıcı personel tarafından uygun şekilde giderilmesini sağlar,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AAD-8</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Gerekli olduğunda hava aracını, bakım için onaylı bakım kuruluşuna </w:t>
            </w:r>
            <w:proofErr w:type="gramStart"/>
            <w:r w:rsidRPr="00EB5A35">
              <w:rPr>
                <w:rFonts w:ascii="Calibri" w:eastAsia="Times New Roman" w:hAnsi="Calibri" w:cs="Calibri"/>
                <w:lang w:eastAsia="tr-TR"/>
              </w:rPr>
              <w:t>yada</w:t>
            </w:r>
            <w:proofErr w:type="gramEnd"/>
            <w:r w:rsidRPr="00EB5A35">
              <w:rPr>
                <w:rFonts w:ascii="Calibri" w:eastAsia="Times New Roman" w:hAnsi="Calibri" w:cs="Calibri"/>
                <w:lang w:eastAsia="tr-TR"/>
              </w:rPr>
              <w:t xml:space="preserve"> bağısmız onaylı bakım kuruluşuna götürülmesini sağlar.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6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AAD-9</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Tüm işlemlerin uygun şekilde yerine getirilmesini sağlamak amacıyla, planlı bakımları, AD'lerin uygulanmasını, ömürlü parçaların değiştirilmesini ve komponentlerin kontrolünü koordine eder.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AAD-10</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Tüm sürekli uçuşa elverişlilik kayıtlarını ve zorunlu ise hava aracı teknik kayıt defterini yönetir ve arşivler,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AAD-11</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aracının ağırlık ve denge raporunun hava aracının güncel durumunu yansıtmasını sağlar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725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16</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SHT-BPU</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Bakım programı </w:t>
            </w:r>
            <w:proofErr w:type="gramStart"/>
            <w:r w:rsidRPr="00EB5A35">
              <w:rPr>
                <w:rFonts w:ascii="Calibri" w:eastAsia="Times New Roman" w:hAnsi="Calibri" w:cs="Calibri"/>
                <w:lang w:eastAsia="tr-TR"/>
              </w:rPr>
              <w:t>periyotlarında</w:t>
            </w:r>
            <w:proofErr w:type="gramEnd"/>
            <w:r w:rsidRPr="00EB5A35">
              <w:rPr>
                <w:rFonts w:ascii="Calibri" w:eastAsia="Times New Roman" w:hAnsi="Calibri" w:cs="Calibri"/>
                <w:lang w:eastAsia="tr-TR"/>
              </w:rPr>
              <w:t xml:space="preserve"> bu Talimatın 9'uncu maddesinde limitlenen kısa süreli uzatma; tip sertifikası sahibi tarafından önerilen limitler içerisinde olması ve aşağıda beliıtilen şartların sağlanması halinde, SYK Kalite Müdüıii ve Sürekli Uçuşa Elverişlilik Müdüıü veya hava aracı sahibi onayı ile yapılabilir. Bu durumda SHGM onayı alınmasına gerek bulunmamaktadır. Yapılan uzatma onayı 72 saat içerisinde gerekçesi ile birlikte Kısa Süreli Bakım Uzatma Bilgilendirme Formu (SHGM Form No: 281) kullanılarak ued. bildirim@)</w:t>
            </w:r>
            <w:proofErr w:type="gramStart"/>
            <w:r w:rsidRPr="00EB5A35">
              <w:rPr>
                <w:rFonts w:ascii="Calibri" w:eastAsia="Times New Roman" w:hAnsi="Calibri" w:cs="Calibri"/>
                <w:lang w:eastAsia="tr-TR"/>
              </w:rPr>
              <w:t>,.,</w:t>
            </w:r>
            <w:proofErr w:type="gramEnd"/>
            <w:r w:rsidRPr="00EB5A35">
              <w:rPr>
                <w:rFonts w:ascii="Calibri" w:eastAsia="Times New Roman" w:hAnsi="Calibri" w:cs="Calibri"/>
                <w:lang w:eastAsia="tr-TR"/>
              </w:rPr>
              <w:t xml:space="preserve">shgm.gov. tr adresine bildirilir. </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a) Uçuş saatleri ile kontrol edilen bakım gereklilikleri için:</w:t>
            </w:r>
            <w:r w:rsidRPr="00EB5A35">
              <w:rPr>
                <w:rFonts w:ascii="Calibri" w:eastAsia="Times New Roman" w:hAnsi="Calibri" w:cs="Calibri"/>
                <w:color w:val="FFFFFF"/>
                <w:lang w:eastAsia="tr-TR"/>
              </w:rPr>
              <w:br/>
              <w:t xml:space="preserve">1) 5000 uçuş saati veya daha az bakım </w:t>
            </w:r>
            <w:proofErr w:type="gramStart"/>
            <w:r w:rsidRPr="00EB5A35">
              <w:rPr>
                <w:rFonts w:ascii="Calibri" w:eastAsia="Times New Roman" w:hAnsi="Calibri" w:cs="Calibri"/>
                <w:color w:val="FFFFFF"/>
                <w:lang w:eastAsia="tr-TR"/>
              </w:rPr>
              <w:t>periyotları</w:t>
            </w:r>
            <w:proofErr w:type="gramEnd"/>
            <w:r w:rsidRPr="00EB5A35">
              <w:rPr>
                <w:rFonts w:ascii="Calibri" w:eastAsia="Times New Roman" w:hAnsi="Calibri" w:cs="Calibri"/>
                <w:color w:val="FFFFFF"/>
                <w:lang w:eastAsia="tr-TR"/>
              </w:rPr>
              <w:t xml:space="preserve"> için %10'a kadar,</w:t>
            </w:r>
            <w:r w:rsidRPr="00EB5A35">
              <w:rPr>
                <w:rFonts w:ascii="Calibri" w:eastAsia="Times New Roman" w:hAnsi="Calibri" w:cs="Calibri"/>
                <w:color w:val="FFFFFF"/>
                <w:lang w:eastAsia="tr-TR"/>
              </w:rPr>
              <w:br/>
              <w:t>2) 5000 uçuş saatinden fazla bakım periyotları için 500 uçuş saatine kadar uzatma verilebilir.</w:t>
            </w:r>
            <w:r w:rsidRPr="00EB5A35">
              <w:rPr>
                <w:rFonts w:ascii="Calibri" w:eastAsia="Times New Roman" w:hAnsi="Calibri" w:cs="Calibri"/>
                <w:color w:val="FFFFFF"/>
                <w:lang w:eastAsia="tr-TR"/>
              </w:rPr>
              <w:br/>
              <w:t>b) Takvim Zamanı ile kontrol edilen bakım gereklilikleri için:</w:t>
            </w:r>
            <w:r w:rsidRPr="00EB5A35">
              <w:rPr>
                <w:rFonts w:ascii="Calibri" w:eastAsia="Times New Roman" w:hAnsi="Calibri" w:cs="Calibri"/>
                <w:color w:val="FFFFFF"/>
                <w:lang w:eastAsia="tr-TR"/>
              </w:rPr>
              <w:br/>
              <w:t xml:space="preserve">l) l yıl veya daha az bakım </w:t>
            </w:r>
            <w:proofErr w:type="gramStart"/>
            <w:r w:rsidRPr="00EB5A35">
              <w:rPr>
                <w:rFonts w:ascii="Calibri" w:eastAsia="Times New Roman" w:hAnsi="Calibri" w:cs="Calibri"/>
                <w:color w:val="FFFFFF"/>
                <w:lang w:eastAsia="tr-TR"/>
              </w:rPr>
              <w:t>periyotları</w:t>
            </w:r>
            <w:proofErr w:type="gramEnd"/>
            <w:r w:rsidRPr="00EB5A35">
              <w:rPr>
                <w:rFonts w:ascii="Calibri" w:eastAsia="Times New Roman" w:hAnsi="Calibri" w:cs="Calibri"/>
                <w:color w:val="FFFFFF"/>
                <w:lang w:eastAsia="tr-TR"/>
              </w:rPr>
              <w:t xml:space="preserve"> için %10'a kadar veya</w:t>
            </w:r>
            <w:r w:rsidRPr="00EB5A35">
              <w:rPr>
                <w:rFonts w:ascii="Calibri" w:eastAsia="Times New Roman" w:hAnsi="Calibri" w:cs="Calibri"/>
                <w:color w:val="FFFFFF"/>
                <w:lang w:eastAsia="tr-TR"/>
              </w:rPr>
              <w:br/>
              <w:t>2) 1 yıldan fazla fakat 3 yılı aşmayan bakım periyotları için 2 aya kadar</w:t>
            </w:r>
            <w:r w:rsidRPr="00EB5A35">
              <w:rPr>
                <w:rFonts w:ascii="Calibri" w:eastAsia="Times New Roman" w:hAnsi="Calibri" w:cs="Calibri"/>
                <w:color w:val="FFFFFF"/>
                <w:lang w:eastAsia="tr-TR"/>
              </w:rPr>
              <w:br/>
              <w:t>3) 3 yıldan fazla bakım periyotları için 3 aya kadar uzatma verilebilir.             c) İniş sayıları ile kontrol edilen bakım gereklilikleri için:</w:t>
            </w:r>
            <w:r w:rsidRPr="00EB5A35">
              <w:rPr>
                <w:rFonts w:ascii="Calibri" w:eastAsia="Times New Roman" w:hAnsi="Calibri" w:cs="Calibri"/>
                <w:color w:val="FFFFFF"/>
                <w:lang w:eastAsia="tr-TR"/>
              </w:rPr>
              <w:br/>
              <w:t xml:space="preserve">l) 500 iniş sayısı veya daha az bakım </w:t>
            </w:r>
            <w:proofErr w:type="gramStart"/>
            <w:r w:rsidRPr="00EB5A35">
              <w:rPr>
                <w:rFonts w:ascii="Calibri" w:eastAsia="Times New Roman" w:hAnsi="Calibri" w:cs="Calibri"/>
                <w:color w:val="FFFFFF"/>
                <w:lang w:eastAsia="tr-TR"/>
              </w:rPr>
              <w:t>periyotları</w:t>
            </w:r>
            <w:proofErr w:type="gramEnd"/>
            <w:r w:rsidRPr="00EB5A35">
              <w:rPr>
                <w:rFonts w:ascii="Calibri" w:eastAsia="Times New Roman" w:hAnsi="Calibri" w:cs="Calibri"/>
                <w:color w:val="FFFFFF"/>
                <w:lang w:eastAsia="tr-TR"/>
              </w:rPr>
              <w:t xml:space="preserve"> için %5'e veya 25 iniş sayısı kadar, hangisi</w:t>
            </w:r>
            <w:r w:rsidRPr="00EB5A35">
              <w:rPr>
                <w:rFonts w:ascii="Calibri" w:eastAsia="Times New Roman" w:hAnsi="Calibri" w:cs="Calibri"/>
                <w:color w:val="FFFFFF"/>
                <w:lang w:eastAsia="tr-TR"/>
              </w:rPr>
              <w:br/>
              <w:t>daha az ise,</w:t>
            </w:r>
            <w:r w:rsidRPr="00EB5A35">
              <w:rPr>
                <w:rFonts w:ascii="Calibri" w:eastAsia="Times New Roman" w:hAnsi="Calibri" w:cs="Calibri"/>
                <w:color w:val="FFFFFF"/>
                <w:lang w:eastAsia="tr-TR"/>
              </w:rPr>
              <w:br/>
              <w:t>2) 500 iniş sayısından fazla bakım periyotları için %5'e veya 250 iniş sayısı, hangisi daha az</w:t>
            </w:r>
            <w:r w:rsidRPr="00EB5A35">
              <w:rPr>
                <w:rFonts w:ascii="Calibri" w:eastAsia="Times New Roman" w:hAnsi="Calibri" w:cs="Calibri"/>
                <w:color w:val="FFFFFF"/>
                <w:lang w:eastAsia="tr-TR"/>
              </w:rPr>
              <w:br/>
              <w:t>ise, uzatma veıilebilir.</w:t>
            </w:r>
          </w:p>
        </w:tc>
      </w:tr>
      <w:tr w:rsidR="00E87416" w:rsidRPr="00EB5A35" w:rsidTr="00791758">
        <w:trPr>
          <w:trHeight w:val="145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AAD-1</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Kısa süreli bakım uzatması kullanarak bakım gerçekleştirilen hava aracının bir sonraki bakım takvimi, uzatma periyodu eklenerek hesaplanmamalı ve bakım uzatma yapılmadan önceki programa göre uygulanmalıdır.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Bakım periyodu uzatma talebi için söz konusu uzatma ihtiyacının olağandışı gelişmeler sonucu oluştuğu ispatlanmalıdır. Yapılacak bu uzatma bir bakım planlama aracı olarak anlaşılmamalıdır.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.080 Sürekli uçuşa elverişlilik verileri</w:t>
            </w:r>
          </w:p>
        </w:tc>
      </w:tr>
      <w:tr w:rsidR="00E87416" w:rsidRPr="00EB5A35" w:rsidTr="00B454C7">
        <w:trPr>
          <w:trHeight w:val="37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17</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.080</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CAO,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.075 maddesinde belirtilen sürekli uçuşa elverişlilik görevlerinin yerine getirilmesi için geçerli olduğu şekliyle M.A.401 veya ML.A.401 maddesinde belirtilen güncel ve geçerli bakım verilerine sahip olur ve kullanır.</w:t>
            </w:r>
          </w:p>
        </w:tc>
        <w:tc>
          <w:tcPr>
            <w:tcW w:w="495"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xml:space="preserve">Bu veriler, geçerli olduğu şekliyle M.A.201 (h.2), M.A.201 (i.1) veya M.A.201 (i.3) maddeleri ya da </w:t>
            </w:r>
            <w:proofErr w:type="gramStart"/>
            <w:r w:rsidRPr="00EB5A35">
              <w:rPr>
                <w:rFonts w:ascii="Calibri" w:eastAsia="Times New Roman" w:hAnsi="Calibri" w:cs="Calibri"/>
                <w:color w:val="FFFFFF"/>
                <w:lang w:eastAsia="tr-TR"/>
              </w:rPr>
              <w:t>ML.A</w:t>
            </w:r>
            <w:proofErr w:type="gramEnd"/>
            <w:r w:rsidRPr="00EB5A35">
              <w:rPr>
                <w:rFonts w:ascii="Calibri" w:eastAsia="Times New Roman" w:hAnsi="Calibri" w:cs="Calibri"/>
                <w:color w:val="FFFFFF"/>
                <w:lang w:eastAsia="tr-TR"/>
              </w:rPr>
              <w:t xml:space="preserve">.201 (e.1) veya ML.A.201 (f) maddeleri kapsamında yapılan bir sözleşmede belirtilmesi halinde hava aracı tarafından sağlanabilir. Bu durumda CAO, bu veriler </w:t>
            </w:r>
            <w:proofErr w:type="gramStart"/>
            <w:r w:rsidRPr="00EB5A35">
              <w:rPr>
                <w:rFonts w:ascii="Calibri" w:eastAsia="Times New Roman" w:hAnsi="Calibri" w:cs="Calibri"/>
                <w:color w:val="FFFFFF"/>
                <w:lang w:eastAsia="tr-TR"/>
              </w:rPr>
              <w:t>CAO.A</w:t>
            </w:r>
            <w:proofErr w:type="gramEnd"/>
            <w:r w:rsidRPr="00EB5A35">
              <w:rPr>
                <w:rFonts w:ascii="Calibri" w:eastAsia="Times New Roman" w:hAnsi="Calibri" w:cs="Calibri"/>
                <w:color w:val="FFFFFF"/>
                <w:lang w:eastAsia="tr-TR"/>
              </w:rPr>
              <w:t>.090 (b) kapsamında tutulması gereken kayıtlardan değilse, sadece söz konusu sözleşmenin geçerli olduğu sürece tutar.</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vAlign w:val="center"/>
            <w:hideMark/>
          </w:tcPr>
          <w:p w:rsidR="00EB5A35" w:rsidRPr="00EB5A35" w:rsidRDefault="00EB5A35" w:rsidP="00EB5A35">
            <w:pPr>
              <w:spacing w:after="0" w:line="240" w:lineRule="auto"/>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.085 Uçuşa elverişlilik gözden geçirme</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18</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.085</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CAO uçuşa elverişlilik gözden geçirme işlemlerini uygun olduğu şekli ile M.A.901 veya </w:t>
            </w: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gerekliliklerine uygun şekilde gerçekleştirir.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174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AAD-1</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.901'de vurgulanan hava aracının uçuşa elverişlilik gözden geçirme işlemi, aşağıdakilerin yerine getirildiğini belgeleyen dokümante edilmiş tüm kayıtların ARS tarafından gözden geçirilmesini, tetkik edilmesini içerir:</w:t>
            </w:r>
            <w:r w:rsidRPr="00EB5A35">
              <w:rPr>
                <w:rFonts w:ascii="Calibri" w:eastAsia="Times New Roman" w:hAnsi="Calibri" w:cs="Calibri"/>
                <w:lang w:eastAsia="tr-TR"/>
              </w:rPr>
              <w:br/>
              <w:t>1.) Gövde, motor ve pervane uçuş saatleri ve uçuş sayılarının uygun şekilde kaydedilmiş olması,</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Uçuş el kitabının hava aracının </w:t>
            </w:r>
            <w:proofErr w:type="gramStart"/>
            <w:r w:rsidRPr="00EB5A35">
              <w:rPr>
                <w:rFonts w:ascii="Calibri" w:eastAsia="Times New Roman" w:hAnsi="Calibri" w:cs="Calibri"/>
                <w:lang w:eastAsia="tr-TR"/>
              </w:rPr>
              <w:t>konfigürasyonu</w:t>
            </w:r>
            <w:proofErr w:type="gramEnd"/>
            <w:r w:rsidRPr="00EB5A35">
              <w:rPr>
                <w:rFonts w:ascii="Calibri" w:eastAsia="Times New Roman" w:hAnsi="Calibri" w:cs="Calibri"/>
                <w:lang w:eastAsia="tr-TR"/>
              </w:rPr>
              <w:t xml:space="preserve"> için geçerli olması ve son revizyonunun güncel durumu yansıtması,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aracında yapılması gereken tüm bakım işlemlerinin, onaylı bakım programına uygun olarak gerçekleştirilmesi,</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Bilinen bütün arızaların giderilmiş olması veya mümkünse kontrollü bir şekilde ileriye yönelik olarak ertelenmesi,</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Geçerli uçuşa elverişlilik direktiflerinin uygun şekilde kayıt altına alınmış ve uygulama gerekliliklerinin sağlanmış olm</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AAD-6</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aracına uygulanmış tüm modifikasyonların ve tamirlerin, SHT-21 Talimatına (veya EASA Part-21 veya Part-21 Light) uygun şekilde yapılmış ve kayıt altına alınmış olması,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AAD-7</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aracına takılmış tüm ömürlü komponentlerin uygun şekilde tanımlanmış, kayıt altına alınmış ve beyan edilen, onaylı servis ömrü sınırlarını aşmamış olması,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AAD-8</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Tüm bakımlara ait servise verme sertifikasının (CRS) bu Talimata uygun olarak yayınlanlması,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58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AAD-9</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Güncel ağırlık ve denge raporunun hava aracının mevcut </w:t>
            </w:r>
            <w:proofErr w:type="gramStart"/>
            <w:r w:rsidRPr="00EB5A35">
              <w:rPr>
                <w:rFonts w:ascii="Calibri" w:eastAsia="Times New Roman" w:hAnsi="Calibri" w:cs="Calibri"/>
                <w:lang w:eastAsia="tr-TR"/>
              </w:rPr>
              <w:t>konfigürasyonunu</w:t>
            </w:r>
            <w:proofErr w:type="gramEnd"/>
            <w:r w:rsidRPr="00EB5A35">
              <w:rPr>
                <w:rFonts w:ascii="Calibri" w:eastAsia="Times New Roman" w:hAnsi="Calibri" w:cs="Calibri"/>
                <w:lang w:eastAsia="tr-TR"/>
              </w:rPr>
              <w:t xml:space="preserve"> yansıtması ve geçerli olması,</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AAD-10</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Hava aracının; EASA, FAA, TCCA, ANAC (Brezilya) veya yapılan ikili anlaşmalar kapsamında Genel Müdürlükçe kabul edilen otoriteler ve yetkilendirilen organizasyonlar tarafından yayınlanan tip sertifikasına/tasarımına uygun olması ya da Genel Müdürlük tarafından yapılacak değerlendirme sonrası, denkliği kabul edilen otorite tarafından yayınlanan tip sertifikasının/tasarımının son </w:t>
            </w:r>
            <w:proofErr w:type="gramStart"/>
            <w:r w:rsidRPr="00EB5A35">
              <w:rPr>
                <w:rFonts w:ascii="Calibri" w:eastAsia="Times New Roman" w:hAnsi="Calibri" w:cs="Calibri"/>
                <w:lang w:eastAsia="tr-TR"/>
              </w:rPr>
              <w:t>revizyonu</w:t>
            </w:r>
            <w:proofErr w:type="gramEnd"/>
            <w:r w:rsidRPr="00EB5A35">
              <w:rPr>
                <w:rFonts w:ascii="Calibri" w:eastAsia="Times New Roman" w:hAnsi="Calibri" w:cs="Calibri"/>
                <w:lang w:eastAsia="tr-TR"/>
              </w:rPr>
              <w:t xml:space="preserve"> ile hava aracının uyumlu olduğunun anlaşılması,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6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Gerektiğinde, hava aracının güncel </w:t>
            </w:r>
            <w:proofErr w:type="gramStart"/>
            <w:r w:rsidRPr="00EB5A35">
              <w:rPr>
                <w:rFonts w:ascii="Calibri" w:eastAsia="Times New Roman" w:hAnsi="Calibri" w:cs="Calibri"/>
                <w:lang w:eastAsia="tr-TR"/>
              </w:rPr>
              <w:t>konfigürasyonuna</w:t>
            </w:r>
            <w:proofErr w:type="gramEnd"/>
            <w:r w:rsidRPr="00EB5A35">
              <w:rPr>
                <w:rFonts w:ascii="Calibri" w:eastAsia="Times New Roman" w:hAnsi="Calibri" w:cs="Calibri"/>
                <w:lang w:eastAsia="tr-TR"/>
              </w:rPr>
              <w:t xml:space="preserve"> karşılık gelen ve SHT-21 Altbölüm I (veya EASA Part-21 veya Part-21 Light Subpart I) kriterlerine göre düzenlenmiş bir gürültü sertifikasına sahip olması,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Genel Müdürlüğün hava aracı uçuşa elverişliliği ve operasyonuna ilişkin yayımladığı geçerli diğer mevzuatlardaki gereklilikler.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19</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aracının uçuşa elverişlilik gözden geçirme işlemini yapan yetkilendirilmiş personel (ARS), hava aracının fiziksel incelemesini de yerine getirir.</w:t>
            </w:r>
            <w:r w:rsidRPr="00EB5A35">
              <w:rPr>
                <w:rFonts w:ascii="Calibri" w:eastAsia="Times New Roman" w:hAnsi="Calibri" w:cs="Calibri"/>
                <w:lang w:eastAsia="tr-TR"/>
              </w:rPr>
              <w:br/>
              <w:t>Bu inceleme için SHT-66'ya göre tanzim edilmiş lisansı olmayan veya gözden geçirme işlemi yapılan hava aracı tipi lisansına kayıtlı olmayan ARS'ye, söz konusu hava aracı tipi lisansına işlenmiş bakım personeli tarafından yardımcı olunur.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116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AAD-1</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(b)</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aracının fiziki incelemesinde, uçuşa elverişlilik gözden geçirme personeli:</w:t>
            </w:r>
            <w:r w:rsidRPr="00EB5A35">
              <w:rPr>
                <w:rFonts w:ascii="Calibri" w:eastAsia="Times New Roman" w:hAnsi="Calibri" w:cs="Calibri"/>
                <w:lang w:eastAsia="tr-TR"/>
              </w:rPr>
              <w:br/>
              <w:t>1.) Gerekli tüm işaretlemelerin ve plakaların uygun şekilde takıldığından</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aracının onaylı uçuş el kitabına uygunluğundan,</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(b)</w:t>
            </w:r>
          </w:p>
        </w:tc>
        <w:tc>
          <w:tcPr>
            <w:tcW w:w="480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Hava aracı </w:t>
            </w:r>
            <w:proofErr w:type="gramStart"/>
            <w:r w:rsidRPr="00EB5A35">
              <w:rPr>
                <w:rFonts w:ascii="Calibri" w:eastAsia="Times New Roman" w:hAnsi="Calibri" w:cs="Calibri"/>
                <w:lang w:eastAsia="tr-TR"/>
              </w:rPr>
              <w:t>konfigürasyonunun</w:t>
            </w:r>
            <w:proofErr w:type="gramEnd"/>
            <w:r w:rsidRPr="00EB5A35">
              <w:rPr>
                <w:rFonts w:ascii="Calibri" w:eastAsia="Times New Roman" w:hAnsi="Calibri" w:cs="Calibri"/>
                <w:lang w:eastAsia="tr-TR"/>
              </w:rPr>
              <w:t xml:space="preserve"> onaylı dokümantasyona, üretici verilerine uygunluğundan,</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.403 gereğince kayda alınmamış hiçbir belirgin arızanın bulunmadığından,</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 ile (a) bendine göre dokümante edilmiş ve incelenmiş kayıtlar arasında hiçbir tutarsızlığın tespit edilmediğinden emin olur.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AAD-6</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.901 (a) bendine istisnai olarak, uçuşa elverişlilik gözden geçirme işlemi, fiziksel incelemenin bakım faaliyeti sırasında gerçekleştirilmesine olanak sağlamak amacıyla, uçuşa elverişlilik gözden geçirme sürecinin sürekliliğinde herhangi bir kayıp oluşmaksızın, azami 90 gün önceden yapılabilir.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232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20</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(e)</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Uçuşa elverişlilik gözden geçirme sertifikası (SHGM Form 15C), aşağıdaki şartlar sağlandığında yayımlanabilir.</w:t>
            </w:r>
            <w:r w:rsidRPr="00EB5A35">
              <w:rPr>
                <w:rFonts w:ascii="Calibri" w:eastAsia="Times New Roman" w:hAnsi="Calibri" w:cs="Calibri"/>
                <w:lang w:eastAsia="tr-TR"/>
              </w:rPr>
              <w:br/>
              <w:t>1.) Uygun şekilde yetkilendirilen uçuşa elverişlilik gözden geçirme personeli tarafından;</w:t>
            </w:r>
            <w:r w:rsidRPr="00EB5A35">
              <w:rPr>
                <w:rFonts w:ascii="Calibri" w:eastAsia="Times New Roman" w:hAnsi="Calibri" w:cs="Calibri"/>
                <w:lang w:eastAsia="tr-TR"/>
              </w:rPr>
              <w:br/>
              <w:t>2.) Uçuşa elverişlilik gözden geçirme işlemi eksiksiz yapılarak ve ayrıca tespit edilen bulgular kapatıldığında,</w:t>
            </w:r>
            <w:r w:rsidRPr="00EB5A35">
              <w:rPr>
                <w:rFonts w:ascii="Calibri" w:eastAsia="Times New Roman" w:hAnsi="Calibri" w:cs="Calibri"/>
                <w:lang w:eastAsia="tr-TR"/>
              </w:rPr>
              <w:br/>
              <w:t xml:space="preserve">3.) Bakım programında herhangi bir eksiklik tespit </w:t>
            </w:r>
            <w:r w:rsidRPr="00EB5A35">
              <w:rPr>
                <w:rFonts w:ascii="Calibri" w:eastAsia="Times New Roman" w:hAnsi="Calibri" w:cs="Calibri"/>
                <w:lang w:eastAsia="tr-TR"/>
              </w:rPr>
              <w:lastRenderedPageBreak/>
              <w:t xml:space="preserve">edildiği zaman bu durum </w:t>
            </w: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(h)'ye göre uygun şekilde giderildiğinde</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21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(f)</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Hava aracı için düzenlenmiş veya geçerlilik süresi uzatılmış herhangi bir uçuşa elverişlilik gözden geçirme sertifikasının bir kopyası Genel Müdürlüğe 10 gün içerisinde gönderilir.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(g)</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Uçuşa elverişlilik gözden geçirme görevleri, sözleşme yoluyla yükleniciye devredilemez.</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Kayıtların saklanması</w:t>
            </w:r>
          </w:p>
        </w:tc>
      </w:tr>
      <w:tr w:rsidR="00E87416" w:rsidRPr="00EB5A35" w:rsidTr="00B454C7">
        <w:trPr>
          <w:trHeight w:val="29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CAO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(a)'da belirtilen kayıtları tutar.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Bu Talimatın CRS yayınlanması konusundaki tüm gerekliliklerinin sağlandığını gösteren alt yüklenici servise verme dokümanları </w:t>
            </w:r>
            <w:proofErr w:type="gramStart"/>
            <w:r w:rsidRPr="00EB5A35">
              <w:rPr>
                <w:rFonts w:ascii="Calibri" w:eastAsia="Times New Roman" w:hAnsi="Calibri" w:cs="Calibri"/>
                <w:lang w:eastAsia="tr-TR"/>
              </w:rPr>
              <w:t>dahil</w:t>
            </w:r>
            <w:proofErr w:type="gramEnd"/>
            <w:r w:rsidRPr="00EB5A35">
              <w:rPr>
                <w:rFonts w:ascii="Calibri" w:eastAsia="Times New Roman" w:hAnsi="Calibri" w:cs="Calibri"/>
                <w:lang w:eastAsia="tr-TR"/>
              </w:rPr>
              <w:t xml:space="preserve"> tüm bakım kayıtlarını tutar.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CAO, tamir ve modifikasyonlar için kullanılan </w:t>
            </w:r>
            <w:proofErr w:type="gramStart"/>
            <w:r w:rsidRPr="00EB5A35">
              <w:rPr>
                <w:rFonts w:ascii="Calibri" w:eastAsia="Times New Roman" w:hAnsi="Calibri" w:cs="Calibri"/>
                <w:lang w:eastAsia="tr-TR"/>
              </w:rPr>
              <w:t>spesifik</w:t>
            </w:r>
            <w:proofErr w:type="gramEnd"/>
            <w:r w:rsidRPr="00EB5A35">
              <w:rPr>
                <w:rFonts w:ascii="Calibri" w:eastAsia="Times New Roman" w:hAnsi="Calibri" w:cs="Calibri"/>
                <w:lang w:eastAsia="tr-TR"/>
              </w:rPr>
              <w:t xml:space="preserve"> tamir yada modifikasyon verilerinin kopyaları ile birlikte, her bir CRS'in bir kopyasını hava aracı sahibine sağlar.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Sürekli uçuşa elverişlilik yönetimi kayıtlarını M.A.305 ve geçerli ise M.A.306 maddesi veya </w:t>
            </w: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.305 maddesi gereğince tutar.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174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AAD-4</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CAO'nun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(c) maddesinde belirtilen yetkiye sahip olması durumunda, ML.A.901 (a) maddesi kapsamında yayınlamış olduğu her bir uçuşa elverişlilik gözden geçirme sertifikasının (ARC) ve tavsiye raporunun veya uçuşa elverişlilik gözden geçirme sertifikalarının uzatma işlemlerinin bir kopyasını destekleyici tüm dokümanlarla birlikte kayıt altında tutar.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CAO'nun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(d) maddesinde belirtilen yetkiye sahip olması durumunda, 21.A.729 maddesi kapsamında yayınlamış olduğu her bir özel uçuş izni onaylarının kayıtlarını tutar.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34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24</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CAO,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a(1)) maddesinde belirtilen kayıtları ve ilgili bakım verilerini bakım işleminin uygulandığı hava aracı veya komponentin servise verildiği tarihten itibaren 3 yıl süre ile saklar.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proofErr w:type="gramStart"/>
            <w:r w:rsidRPr="00EB5A35">
              <w:rPr>
                <w:rFonts w:ascii="Calibri" w:eastAsia="Times New Roman" w:hAnsi="Calibri" w:cs="Calibri"/>
                <w:color w:val="FFFFFF"/>
                <w:lang w:eastAsia="tr-TR"/>
              </w:rPr>
              <w:t>CAO.A</w:t>
            </w:r>
            <w:proofErr w:type="gramEnd"/>
            <w:r w:rsidRPr="00EB5A35">
              <w:rPr>
                <w:rFonts w:ascii="Calibri" w:eastAsia="Times New Roman" w:hAnsi="Calibri" w:cs="Calibri"/>
                <w:color w:val="FFFFFF"/>
                <w:lang w:eastAsia="tr-TR"/>
              </w:rPr>
              <w:t>.090a(1)                                     a.) CAO aşağıdaki kayıtları tutar.</w:t>
            </w:r>
            <w:r w:rsidRPr="00EB5A35">
              <w:rPr>
                <w:rFonts w:ascii="Calibri" w:eastAsia="Times New Roman" w:hAnsi="Calibri" w:cs="Calibri"/>
                <w:color w:val="FFFFFF"/>
                <w:lang w:eastAsia="tr-TR"/>
              </w:rPr>
              <w:br/>
              <w:t xml:space="preserve">1.) Bu Talimatın CRS yayınlanması konusundaki tüm gerekliliklerinin sağlandığını gösteren alt yüklenici servise verme dokümanları </w:t>
            </w:r>
            <w:proofErr w:type="gramStart"/>
            <w:r w:rsidRPr="00EB5A35">
              <w:rPr>
                <w:rFonts w:ascii="Calibri" w:eastAsia="Times New Roman" w:hAnsi="Calibri" w:cs="Calibri"/>
                <w:color w:val="FFFFFF"/>
                <w:lang w:eastAsia="tr-TR"/>
              </w:rPr>
              <w:t>dahil</w:t>
            </w:r>
            <w:proofErr w:type="gramEnd"/>
            <w:r w:rsidRPr="00EB5A35">
              <w:rPr>
                <w:rFonts w:ascii="Calibri" w:eastAsia="Times New Roman" w:hAnsi="Calibri" w:cs="Calibri"/>
                <w:color w:val="FFFFFF"/>
                <w:lang w:eastAsia="tr-TR"/>
              </w:rPr>
              <w:t xml:space="preserve"> tüm bakım kayıtlarını tutar.</w:t>
            </w:r>
            <w:r w:rsidRPr="00EB5A35">
              <w:rPr>
                <w:rFonts w:ascii="Calibri" w:eastAsia="Times New Roman" w:hAnsi="Calibri" w:cs="Calibri"/>
                <w:color w:val="FFFFFF"/>
                <w:lang w:eastAsia="tr-TR"/>
              </w:rPr>
              <w:br/>
              <w:t xml:space="preserve">CAO, tamir ve modifikasyonlar için kullanılan </w:t>
            </w:r>
            <w:proofErr w:type="gramStart"/>
            <w:r w:rsidRPr="00EB5A35">
              <w:rPr>
                <w:rFonts w:ascii="Calibri" w:eastAsia="Times New Roman" w:hAnsi="Calibri" w:cs="Calibri"/>
                <w:color w:val="FFFFFF"/>
                <w:lang w:eastAsia="tr-TR"/>
              </w:rPr>
              <w:t>spesifik</w:t>
            </w:r>
            <w:proofErr w:type="gramEnd"/>
            <w:r w:rsidRPr="00EB5A35">
              <w:rPr>
                <w:rFonts w:ascii="Calibri" w:eastAsia="Times New Roman" w:hAnsi="Calibri" w:cs="Calibri"/>
                <w:color w:val="FFFFFF"/>
                <w:lang w:eastAsia="tr-TR"/>
              </w:rPr>
              <w:t xml:space="preserve"> tamir yada modifikasyon verilerinin kopyaları ile birlikte, her bir CRS'in bir kopyasını hava aracı sahibine sağlar</w:t>
            </w:r>
          </w:p>
        </w:tc>
      </w:tr>
      <w:tr w:rsidR="00E87416" w:rsidRPr="00EB5A35" w:rsidTr="00791758">
        <w:trPr>
          <w:trHeight w:val="406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25</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(c)</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CAO,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a.2) ila (CAO.A.090 a.4) maddelerinde belirtilen kayıtları ilgili hava aracının kalıcı olarak servisten çekildiği tarihten itibaren 3 yıl süre ile saklar.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proofErr w:type="gramStart"/>
            <w:r w:rsidRPr="00EB5A35">
              <w:rPr>
                <w:rFonts w:ascii="Calibri" w:eastAsia="Times New Roman" w:hAnsi="Calibri" w:cs="Calibri"/>
                <w:color w:val="FFFFFF"/>
                <w:lang w:eastAsia="tr-TR"/>
              </w:rPr>
              <w:t>CAO.A</w:t>
            </w:r>
            <w:proofErr w:type="gramEnd"/>
            <w:r w:rsidRPr="00EB5A35">
              <w:rPr>
                <w:rFonts w:ascii="Calibri" w:eastAsia="Times New Roman" w:hAnsi="Calibri" w:cs="Calibri"/>
                <w:color w:val="FFFFFF"/>
                <w:lang w:eastAsia="tr-TR"/>
              </w:rPr>
              <w:t>.090a(2)                                      2.) Aşağıdakiler kapsamındaki sürekli uçuşa elverişlilik yönetimi kayıtlarını tutar.</w:t>
            </w:r>
            <w:r w:rsidRPr="00EB5A35">
              <w:rPr>
                <w:rFonts w:ascii="Calibri" w:eastAsia="Times New Roman" w:hAnsi="Calibri" w:cs="Calibri"/>
                <w:color w:val="FFFFFF"/>
                <w:lang w:eastAsia="tr-TR"/>
              </w:rPr>
              <w:br/>
              <w:t>(2.i) M.A.305 ve geçerli ise M.A.306 maddesi,</w:t>
            </w:r>
            <w:r w:rsidRPr="00EB5A35">
              <w:rPr>
                <w:rFonts w:ascii="Calibri" w:eastAsia="Times New Roman" w:hAnsi="Calibri" w:cs="Calibri"/>
                <w:color w:val="FFFFFF"/>
                <w:lang w:eastAsia="tr-TR"/>
              </w:rPr>
              <w:br/>
              <w:t xml:space="preserve">(2.ii) </w:t>
            </w:r>
            <w:proofErr w:type="gramStart"/>
            <w:r w:rsidRPr="00EB5A35">
              <w:rPr>
                <w:rFonts w:ascii="Calibri" w:eastAsia="Times New Roman" w:hAnsi="Calibri" w:cs="Calibri"/>
                <w:color w:val="FFFFFF"/>
                <w:lang w:eastAsia="tr-TR"/>
              </w:rPr>
              <w:t>ML.A</w:t>
            </w:r>
            <w:proofErr w:type="gramEnd"/>
            <w:r w:rsidRPr="00EB5A35">
              <w:rPr>
                <w:rFonts w:ascii="Calibri" w:eastAsia="Times New Roman" w:hAnsi="Calibri" w:cs="Calibri"/>
                <w:color w:val="FFFFFF"/>
                <w:lang w:eastAsia="tr-TR"/>
              </w:rPr>
              <w:t xml:space="preserve">.305 maddesi.                                                                                                                                                                                 </w:t>
            </w:r>
            <w:proofErr w:type="gramStart"/>
            <w:r w:rsidRPr="00EB5A35">
              <w:rPr>
                <w:rFonts w:ascii="Calibri" w:eastAsia="Times New Roman" w:hAnsi="Calibri" w:cs="Calibri"/>
                <w:color w:val="FFFFFF"/>
                <w:lang w:eastAsia="tr-TR"/>
              </w:rPr>
              <w:t>CAO.A</w:t>
            </w:r>
            <w:proofErr w:type="gramEnd"/>
            <w:r w:rsidRPr="00EB5A35">
              <w:rPr>
                <w:rFonts w:ascii="Calibri" w:eastAsia="Times New Roman" w:hAnsi="Calibri" w:cs="Calibri"/>
                <w:color w:val="FFFFFF"/>
                <w:lang w:eastAsia="tr-TR"/>
              </w:rPr>
              <w:t>.090a(4)                          CAO'nun CAO.A.095 (d) maddesinde belirtilen yetkiye sahip olması durumunda, 21.A.729 maddesi kapsamında yayınlamış olduğu her bir özel uçuş izni onaylarının kayıtlarını tutar.</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26</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(d)</w:t>
            </w:r>
          </w:p>
        </w:tc>
        <w:tc>
          <w:tcPr>
            <w:tcW w:w="4802" w:type="dxa"/>
            <w:tcBorders>
              <w:top w:val="nil"/>
              <w:left w:val="nil"/>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Tüm kayıtlar, hasar, değişiklik veya hırsızlığa karşı korumalı bir şekilde saklanır.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27</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(e)</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Bakım kayıtlarının yedeğinin tutulduğu tüm bilgisayar donanımları söz konusu verilerin bulunduğu ortamdan farklı bir yerde ve uygun koşullarda tutulur.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28</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(f)</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Bir hava aracının sürekli uçuşa elverişlilik yönetiminin başka bir kuruluşa veya kişiye devredilmesi durumunda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.090 a.2) ile (CAO.A.090 a.4) maddelerinde belirtilen kayıtlar diğer kuruluş veya kişiye devredilir. Devir anından sonra (b) ve (c) maddeleri devralan kuruluş için geçerli olur.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Kuruluşun yetkileri</w:t>
            </w:r>
          </w:p>
        </w:tc>
      </w:tr>
      <w:tr w:rsidR="00E87416" w:rsidRPr="00EB5A35" w:rsidTr="00791758">
        <w:trPr>
          <w:trHeight w:val="58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000000" w:fill="FFFFFF"/>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29</w:t>
            </w:r>
          </w:p>
        </w:tc>
        <w:tc>
          <w:tcPr>
            <w:tcW w:w="1842" w:type="dxa"/>
            <w:tcBorders>
              <w:top w:val="single" w:sz="4" w:space="0" w:color="2E74B5" w:themeColor="accent1" w:themeShade="BF"/>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(b)</w:t>
            </w:r>
          </w:p>
        </w:tc>
        <w:tc>
          <w:tcPr>
            <w:tcW w:w="4802" w:type="dxa"/>
            <w:tcBorders>
              <w:top w:val="single" w:sz="4" w:space="0" w:color="2E74B5" w:themeColor="accent1" w:themeShade="BF"/>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Sürekli uçuşa elverişlilik yönetimi konusunda yetkilendirilen CAO aşağıdaki yetkiler doğru şekilde uygulanmış </w:t>
            </w:r>
            <w:proofErr w:type="gramStart"/>
            <w:r w:rsidRPr="00EB5A35">
              <w:rPr>
                <w:rFonts w:ascii="Calibri" w:eastAsia="Times New Roman" w:hAnsi="Calibri" w:cs="Calibri"/>
                <w:lang w:eastAsia="tr-TR"/>
              </w:rPr>
              <w:t>mı ?</w:t>
            </w:r>
            <w:proofErr w:type="gramEnd"/>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6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Genel Müdürlük, başka bir kuruluş veya kişi tarafından yayınlanmış bir ARC'yi uygun olduğu duruma göre M.A.901 (f), </w:t>
            </w: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.901 (c), MD.A.901 (c) veya MD.A.901 (d) maddesi kapsamında temdit etmek.</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Uçuşa elverişlilik gözden geçirme sertifikasının geçerliliği, aşağıdaki koşullara bağlı olarak, onaylı CAMO/CAO tarafından her seferinde bir yıl olmak üzere ardışık şekilde iki kez uzatılabilir.</w:t>
            </w:r>
            <w:r w:rsidRPr="00EB5A35">
              <w:rPr>
                <w:rFonts w:ascii="Calibri" w:eastAsia="Times New Roman" w:hAnsi="Calibri" w:cs="Calibri"/>
                <w:lang w:eastAsia="tr-TR"/>
              </w:rPr>
              <w:br/>
              <w:t>1.) Hava aracının aynı CAMO/CAO tarafından son 12 ay boyunca kesintisiz olarak yönetilmiş olması,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Uçuşa elverişlilik gözden geçirme sertifikasını uzatma işlemi, hava aracı kayıtlarının incelenmesi, hava aracının tip sertifikasına uygunluk ve emniyet gereklerini karşıladığının doğrulanması anlamında bir işlemdir.</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2.) Hava aracı bakımlarının son 12 ay boyunca onaylı bakım kuruluşu tarafından yapılmış olması. Bu </w:t>
            </w:r>
            <w:proofErr w:type="gramStart"/>
            <w:r w:rsidRPr="00EB5A35">
              <w:rPr>
                <w:rFonts w:ascii="Calibri" w:eastAsia="Times New Roman" w:hAnsi="Calibri" w:cs="Calibri"/>
                <w:lang w:eastAsia="tr-TR"/>
              </w:rPr>
              <w:t>kriter</w:t>
            </w:r>
            <w:proofErr w:type="gramEnd"/>
            <w:r w:rsidRPr="00EB5A35">
              <w:rPr>
                <w:rFonts w:ascii="Calibri" w:eastAsia="Times New Roman" w:hAnsi="Calibri" w:cs="Calibri"/>
                <w:lang w:eastAsia="tr-TR"/>
              </w:rPr>
              <w:t>, bağımsız onaylayıcı personel veya hava aracı sahibi pilot tarafından gerçekleştirilerek bakım çıkış sertifikası (CRS) yayınlanan bakımları da kapsamaktadır.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16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3.) Hava aracının uçuşa elverişsiz olduğuna dair CAMO/CAO'yu şüpheye düşürecek bir kanıınt ve nedenin bulunmaması.</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CAMO/CAO tarafından yapılacak bu uzatma işleminde ARC'ın ilk olarak kim tarafından yayınlandığının bir etkisi bulunmamaktadır.</w:t>
            </w:r>
          </w:p>
        </w:tc>
      </w:tr>
      <w:tr w:rsidR="00E87416" w:rsidRPr="00EB5A35" w:rsidTr="00791758">
        <w:trPr>
          <w:trHeight w:val="145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AAD-5</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.901 (d)</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(d) Uçuşa elverişlilik gözden geçirme sertifikasının geçerlilik süresinin uzatılmasının azami 30 gün önceden yapılması kabul edilebilir ve bu durumda uçuşa elverişlilik gözden geçirme işlemi düzeni ve sürekliliği kaybolmaz.</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Gözden geçirme işlemi düzeninin kaybolmamasının anlamı, yeni geçerlilik tarihinin, mevcut geçerlilik tarihinden tam bir yıl sonrası olarak belirlenmesidir</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30</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Onay sertifikasında belirtildiği şekilde, sınırlı sürekli uçuşa elverişlilik görevlerini kendi kalite sistemi altında yer alan sözleşmeli alt yüklenici vasıtasıyla yürütmek.</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32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In order to fulfil this responsibility, the CAO should be satisfied that the actions taken by the</w:t>
            </w:r>
            <w:r w:rsidRPr="00EB5A35">
              <w:rPr>
                <w:rFonts w:ascii="Calibri" w:eastAsia="Times New Roman" w:hAnsi="Calibri" w:cs="Calibri"/>
                <w:lang w:eastAsia="tr-TR"/>
              </w:rPr>
              <w:br/>
              <w:t>subcontracted organisation meet the standards required by Part-CAO. Therefore, the CAO</w:t>
            </w:r>
            <w:r w:rsidRPr="00EB5A35">
              <w:rPr>
                <w:rFonts w:ascii="Calibri" w:eastAsia="Times New Roman" w:hAnsi="Calibri" w:cs="Calibri"/>
                <w:lang w:eastAsia="tr-TR"/>
              </w:rPr>
              <w:br/>
              <w:t>management of such activities should be accomplished by:</w:t>
            </w:r>
            <w:r w:rsidRPr="00EB5A35">
              <w:rPr>
                <w:rFonts w:ascii="Calibri" w:eastAsia="Times New Roman" w:hAnsi="Calibri" w:cs="Calibri"/>
                <w:lang w:eastAsia="tr-TR"/>
              </w:rPr>
              <w:br/>
              <w:t>(1) active control through direct involvement; and/or</w:t>
            </w:r>
            <w:r w:rsidRPr="00EB5A35">
              <w:rPr>
                <w:rFonts w:ascii="Calibri" w:eastAsia="Times New Roman" w:hAnsi="Calibri" w:cs="Calibri"/>
                <w:lang w:eastAsia="tr-TR"/>
              </w:rPr>
              <w:br/>
              <w:t>(2) endorsing the recommendations made by the subcontracted organisation.</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348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AAD-2</w:t>
            </w:r>
          </w:p>
        </w:tc>
        <w:tc>
          <w:tcPr>
            <w:tcW w:w="1842" w:type="dxa"/>
            <w:tcBorders>
              <w:top w:val="single" w:sz="4" w:space="0" w:color="2E74B5" w:themeColor="accent1" w:themeShade="BF"/>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proofErr w:type="gramStart"/>
            <w:r w:rsidRPr="00EB5A35">
              <w:rPr>
                <w:rFonts w:ascii="Calibri" w:eastAsia="Times New Roman" w:hAnsi="Calibri" w:cs="Calibri"/>
                <w:lang w:eastAsia="tr-TR"/>
              </w:rPr>
              <w:t>In order to retain ultimate responsibility, the CAO should limit subcontracted tasks to the</w:t>
            </w:r>
            <w:r w:rsidRPr="00EB5A35">
              <w:rPr>
                <w:rFonts w:ascii="Calibri" w:eastAsia="Times New Roman" w:hAnsi="Calibri" w:cs="Calibri"/>
                <w:lang w:eastAsia="tr-TR"/>
              </w:rPr>
              <w:br/>
              <w:t>activities specified below:</w:t>
            </w:r>
            <w:r w:rsidRPr="00EB5A35">
              <w:rPr>
                <w:rFonts w:ascii="Calibri" w:eastAsia="Times New Roman" w:hAnsi="Calibri" w:cs="Calibri"/>
                <w:lang w:eastAsia="tr-TR"/>
              </w:rPr>
              <w:br/>
              <w:t>(1) airworthiness directive analysis and planning;</w:t>
            </w:r>
            <w:r w:rsidRPr="00EB5A35">
              <w:rPr>
                <w:rFonts w:ascii="Calibri" w:eastAsia="Times New Roman" w:hAnsi="Calibri" w:cs="Calibri"/>
                <w:lang w:eastAsia="tr-TR"/>
              </w:rPr>
              <w:br/>
              <w:t>(2) service bulletin analysis;</w:t>
            </w:r>
            <w:r w:rsidRPr="00EB5A35">
              <w:rPr>
                <w:rFonts w:ascii="Calibri" w:eastAsia="Times New Roman" w:hAnsi="Calibri" w:cs="Calibri"/>
                <w:lang w:eastAsia="tr-TR"/>
              </w:rPr>
              <w:br/>
              <w:t>(3) planning of maintenance;</w:t>
            </w:r>
            <w:r w:rsidRPr="00EB5A35">
              <w:rPr>
                <w:rFonts w:ascii="Calibri" w:eastAsia="Times New Roman" w:hAnsi="Calibri" w:cs="Calibri"/>
                <w:lang w:eastAsia="tr-TR"/>
              </w:rPr>
              <w:br/>
              <w:t>(4) reliability monitoring, engine health monitoring;</w:t>
            </w:r>
            <w:r w:rsidRPr="00EB5A35">
              <w:rPr>
                <w:rFonts w:ascii="Calibri" w:eastAsia="Times New Roman" w:hAnsi="Calibri" w:cs="Calibri"/>
                <w:lang w:eastAsia="tr-TR"/>
              </w:rPr>
              <w:br/>
              <w:t>(5) maintenance programme development and amendments; and</w:t>
            </w:r>
            <w:r w:rsidRPr="00EB5A35">
              <w:rPr>
                <w:rFonts w:ascii="Calibri" w:eastAsia="Times New Roman" w:hAnsi="Calibri" w:cs="Calibri"/>
                <w:lang w:eastAsia="tr-TR"/>
              </w:rPr>
              <w:br/>
              <w:t>(6) any other activities, which do not limit the CAO responsibilities, as agreed by the</w:t>
            </w:r>
            <w:r w:rsidRPr="00EB5A35">
              <w:rPr>
                <w:rFonts w:ascii="Calibri" w:eastAsia="Times New Roman" w:hAnsi="Calibri" w:cs="Calibri"/>
                <w:lang w:eastAsia="tr-TR"/>
              </w:rPr>
              <w:br/>
              <w:t>competent authority.</w:t>
            </w:r>
            <w:proofErr w:type="gramEnd"/>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The CAO’s controls associated with subcontracted continuing airworthiness management tasks should be reflected in the associated contract and be in accordance with the CAO policy and</w:t>
            </w:r>
            <w:r w:rsidRPr="00EB5A35">
              <w:rPr>
                <w:rFonts w:ascii="Calibri" w:eastAsia="Times New Roman" w:hAnsi="Calibri" w:cs="Calibri"/>
                <w:lang w:eastAsia="tr-TR"/>
              </w:rPr>
              <w:br/>
              <w:t>procedures defined in the CAE. When such tasks are subcontracted, the quality system is considered to be extended to the subcontracted organisations.</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With the exception of engines and auxiliary power units, contracts would normally be limited to one organisation per aircraft type for any combination of the subcontracted activities. Where contracts are made with more than one organisation, the CAO should demonstrate that adequate coordination controls are in place and that the individuals’ responsibilities are clearly</w:t>
            </w:r>
            <w:r w:rsidRPr="00EB5A35">
              <w:rPr>
                <w:rFonts w:ascii="Calibri" w:eastAsia="Times New Roman" w:hAnsi="Calibri" w:cs="Calibri"/>
                <w:lang w:eastAsia="tr-TR"/>
              </w:rPr>
              <w:br/>
              <w:t>defined in the related contracts.</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87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AAD-5</w:t>
            </w:r>
          </w:p>
        </w:tc>
        <w:tc>
          <w:tcPr>
            <w:tcW w:w="1842" w:type="dxa"/>
            <w:tcBorders>
              <w:top w:val="single" w:sz="4" w:space="0" w:color="2E74B5" w:themeColor="accent1" w:themeShade="BF"/>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Contracts should not authorise the subcontracted organisation to subcontract elements of the continuing airworthiness management tasks to other organisations.</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74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AAD-6</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The competent authority should exercise oversight of the subcontracted activities through the CAO approval. The contracts should be acceptable to the competent authority. The CAO should</w:t>
            </w:r>
            <w:r w:rsidRPr="00EB5A35">
              <w:rPr>
                <w:rFonts w:ascii="Calibri" w:eastAsia="Times New Roman" w:hAnsi="Calibri" w:cs="Calibri"/>
                <w:lang w:eastAsia="tr-TR"/>
              </w:rPr>
              <w:br/>
              <w:t xml:space="preserve">only subcontract to organisations which are specified by the competent authority on SHGM Form 3-CAO </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45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AAD-7</w:t>
            </w:r>
          </w:p>
        </w:tc>
        <w:tc>
          <w:tcPr>
            <w:tcW w:w="1842" w:type="dxa"/>
            <w:tcBorders>
              <w:top w:val="nil"/>
              <w:left w:val="nil"/>
              <w:bottom w:val="single" w:sz="4" w:space="0" w:color="3366FF"/>
              <w:right w:val="single" w:sz="4" w:space="0" w:color="3366FF"/>
            </w:tcBorders>
            <w:shd w:val="clear" w:color="000000" w:fill="FFFFFF"/>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The subcontracted organisation should agree to notify the CAO of any changes affecting the contract as soon as practical. The CAO should then inform its competent authority. Failure to do so may invalidate the competent authority’s acceptance of the contract.</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xml:space="preserve">Daha detaylı uygulamalar için CAMO gereklilikleri </w:t>
            </w:r>
            <w:proofErr w:type="gramStart"/>
            <w:r w:rsidRPr="00EB5A35">
              <w:rPr>
                <w:rFonts w:ascii="Calibri" w:eastAsia="Times New Roman" w:hAnsi="Calibri" w:cs="Calibri"/>
                <w:color w:val="FFFFFF"/>
                <w:lang w:eastAsia="tr-TR"/>
              </w:rPr>
              <w:t>CAO'ya  uygulanabilir</w:t>
            </w:r>
            <w:proofErr w:type="gramEnd"/>
            <w:r w:rsidRPr="00EB5A35">
              <w:rPr>
                <w:rFonts w:ascii="Calibri" w:eastAsia="Times New Roman" w:hAnsi="Calibri" w:cs="Calibri"/>
                <w:color w:val="FFFFFF"/>
                <w:lang w:eastAsia="tr-TR"/>
              </w:rPr>
              <w:t xml:space="preserve">. Appendix II to AMC1 </w:t>
            </w:r>
            <w:proofErr w:type="gramStart"/>
            <w:r w:rsidRPr="00EB5A35">
              <w:rPr>
                <w:rFonts w:ascii="Calibri" w:eastAsia="Times New Roman" w:hAnsi="Calibri" w:cs="Calibri"/>
                <w:color w:val="FFFFFF"/>
                <w:lang w:eastAsia="tr-TR"/>
              </w:rPr>
              <w:t>CAMO.A</w:t>
            </w:r>
            <w:proofErr w:type="gramEnd"/>
            <w:r w:rsidRPr="00EB5A35">
              <w:rPr>
                <w:rFonts w:ascii="Calibri" w:eastAsia="Times New Roman" w:hAnsi="Calibri" w:cs="Calibri"/>
                <w:color w:val="FFFFFF"/>
                <w:lang w:eastAsia="tr-TR"/>
              </w:rPr>
              <w:t>.125(d)(3)</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Uçuşa elverişlilik gözden geçirme konusunda yekilendirilen CAO aşağıdaki yetkilere sahip olur.</w:t>
            </w:r>
            <w:r w:rsidRPr="00EB5A35">
              <w:rPr>
                <w:rFonts w:ascii="Calibri" w:eastAsia="Times New Roman" w:hAnsi="Calibri" w:cs="Calibri"/>
                <w:lang w:eastAsia="tr-TR"/>
              </w:rPr>
              <w:br/>
              <w:t xml:space="preserve">1.) Ülkemizde yerleşik (b) bendi kapsamında sürekli uçuşa elverişlilik yönetimi konusunda yetkiye sahip bir CAO, uygun olduğu duruma göre M.A.901, </w:t>
            </w:r>
            <w:proofErr w:type="gramStart"/>
            <w:r w:rsidRPr="00EB5A35">
              <w:rPr>
                <w:rFonts w:ascii="Calibri" w:eastAsia="Times New Roman" w:hAnsi="Calibri" w:cs="Calibri"/>
                <w:lang w:eastAsia="tr-TR"/>
              </w:rPr>
              <w:t>ML.A</w:t>
            </w:r>
            <w:proofErr w:type="gramEnd"/>
            <w:r w:rsidRPr="00EB5A35">
              <w:rPr>
                <w:rFonts w:ascii="Calibri" w:eastAsia="Times New Roman" w:hAnsi="Calibri" w:cs="Calibri"/>
                <w:lang w:eastAsia="tr-TR"/>
              </w:rPr>
              <w:t>.903 veya MD.A.903 maddesi kapsamında uçuşa elverişlilik gözden geçirme gerçekleştirme konusunda da yetkilendirilebilir.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ARC yayınlayabilir veya ARC yayınlanması için tavsiye raporu düzenlemek.</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174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32</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.095 (d)</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Ülkemizde yerleşik (c) maddesi kapsamında uçuşa elverişlilik gözden geçirme konusunda yetkiye sahip bir CAO, CAE içerisinde uygun bir </w:t>
            </w:r>
            <w:proofErr w:type="gramStart"/>
            <w:r w:rsidRPr="00EB5A35">
              <w:rPr>
                <w:rFonts w:ascii="Calibri" w:eastAsia="Times New Roman" w:hAnsi="Calibri" w:cs="Calibri"/>
                <w:lang w:eastAsia="tr-TR"/>
              </w:rPr>
              <w:t>prosedür</w:t>
            </w:r>
            <w:proofErr w:type="gramEnd"/>
            <w:r w:rsidRPr="00EB5A35">
              <w:rPr>
                <w:rFonts w:ascii="Calibri" w:eastAsia="Times New Roman" w:hAnsi="Calibri" w:cs="Calibri"/>
                <w:lang w:eastAsia="tr-TR"/>
              </w:rPr>
              <w:t xml:space="preserve"> bulunması şartıyla, ARC yayınlamak üzere yetkili olduğu hava araçlarına uçuş koşullarına uygunluk sağladığına kanaat getirdiğinde 21.A.711 (d) maddesi kapsamında özel uçuş izni onayı vermek üzere de yetkilendirilebilir.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 Kalite sistemi ve organizasyonel gözden geçirme</w:t>
            </w:r>
          </w:p>
        </w:tc>
      </w:tr>
      <w:tr w:rsidR="00E87416" w:rsidRPr="00EB5A35" w:rsidTr="00B454C7">
        <w:trPr>
          <w:trHeight w:val="464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Kuruluş, Part-CAO gerekliliklerinin sürekli olarak yerine getirilmesini sağlamak üzere bir kalite sistemi kurar ve bir kalite müdürü atar.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(a) The primary objectives of the quality system are to provide an independent monitoring function</w:t>
            </w:r>
            <w:r w:rsidRPr="00EB5A35">
              <w:rPr>
                <w:rFonts w:ascii="Calibri" w:eastAsia="Times New Roman" w:hAnsi="Calibri" w:cs="Calibri"/>
                <w:color w:val="FFFFFF"/>
                <w:lang w:eastAsia="tr-TR"/>
              </w:rPr>
              <w:br/>
              <w:t>on how the organisation ensures compliance with the applicable requirements, policies and</w:t>
            </w:r>
            <w:r w:rsidRPr="00EB5A35">
              <w:rPr>
                <w:rFonts w:ascii="Calibri" w:eastAsia="Times New Roman" w:hAnsi="Calibri" w:cs="Calibri"/>
                <w:color w:val="FFFFFF"/>
                <w:lang w:eastAsia="tr-TR"/>
              </w:rPr>
              <w:br/>
              <w:t>procedures, and to request actions where non-compliances are identified.</w:t>
            </w:r>
            <w:r w:rsidRPr="00EB5A35">
              <w:rPr>
                <w:rFonts w:ascii="Calibri" w:eastAsia="Times New Roman" w:hAnsi="Calibri" w:cs="Calibri"/>
                <w:color w:val="FFFFFF"/>
                <w:lang w:eastAsia="tr-TR"/>
              </w:rPr>
              <w:br/>
              <w:t>(b) The independence of the quality system is established by always ensuring that audits are carried</w:t>
            </w:r>
            <w:r w:rsidRPr="00EB5A35">
              <w:rPr>
                <w:rFonts w:ascii="Calibri" w:eastAsia="Times New Roman" w:hAnsi="Calibri" w:cs="Calibri"/>
                <w:color w:val="FFFFFF"/>
                <w:lang w:eastAsia="tr-TR"/>
              </w:rPr>
              <w:br/>
              <w:t>out by personnel who are not responsible for the functions, procedures or products that are</w:t>
            </w:r>
            <w:r w:rsidRPr="00EB5A35">
              <w:rPr>
                <w:rFonts w:ascii="Calibri" w:eastAsia="Times New Roman" w:hAnsi="Calibri" w:cs="Calibri"/>
                <w:color w:val="FFFFFF"/>
                <w:lang w:eastAsia="tr-TR"/>
              </w:rPr>
              <w:br/>
              <w:t>audited.</w:t>
            </w:r>
          </w:p>
        </w:tc>
      </w:tr>
      <w:tr w:rsidR="00E87416" w:rsidRPr="00EB5A35" w:rsidTr="00791758">
        <w:trPr>
          <w:trHeight w:val="232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AAD-1</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The quality system should include a feedback system: it should ensure that all findings resulting from the independent audits are properly investigated and corrected in a timely manner. It should address who is required to rectify each non-compliance and the procedure to be followed if rectification is not completed within appropriate timescales. The procedure should enable the accountable manager to be kept informed of any safety issues and the extent of compliance with Part-CAO.</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32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The audit reports referenced in 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.100(b) should be sent to the relevant department for rectification action giving target rectification dates. Rectification dates should be discussed</w:t>
            </w:r>
            <w:r w:rsidRPr="00EB5A35">
              <w:rPr>
                <w:rFonts w:ascii="Calibri" w:eastAsia="Times New Roman" w:hAnsi="Calibri" w:cs="Calibri"/>
                <w:lang w:eastAsia="tr-TR"/>
              </w:rPr>
              <w:br/>
              <w:t>with such department before the quality department or nominated auditor confirms such dates in the report. The relevant department is required to rectify findings and inform the quality</w:t>
            </w:r>
            <w:r w:rsidRPr="00EB5A35">
              <w:rPr>
                <w:rFonts w:ascii="Calibri" w:eastAsia="Times New Roman" w:hAnsi="Calibri" w:cs="Calibri"/>
                <w:lang w:eastAsia="tr-TR"/>
              </w:rPr>
              <w:br/>
              <w:t>manager or the auditor of such rectification.</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61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The accountable manager should hold regular meetings with staff to check the progress of any corrective actions. </w:t>
            </w:r>
            <w:proofErr w:type="gramStart"/>
            <w:r w:rsidRPr="00EB5A35">
              <w:rPr>
                <w:rFonts w:ascii="Calibri" w:eastAsia="Times New Roman" w:hAnsi="Calibri" w:cs="Calibri"/>
                <w:lang w:eastAsia="tr-TR"/>
              </w:rPr>
              <w:t>If these meetings are delegated to the quality manager on a day-to-day basis, then the accountable manager should:</w:t>
            </w:r>
            <w:r w:rsidRPr="00EB5A35">
              <w:rPr>
                <w:rFonts w:ascii="Calibri" w:eastAsia="Times New Roman" w:hAnsi="Calibri" w:cs="Calibri"/>
                <w:lang w:eastAsia="tr-TR"/>
              </w:rPr>
              <w:br/>
              <w:t>(1) meet the senior staff involved at least twice per year to review the overall performance</w:t>
            </w:r>
            <w:r w:rsidRPr="00EB5A35">
              <w:rPr>
                <w:rFonts w:ascii="Calibri" w:eastAsia="Times New Roman" w:hAnsi="Calibri" w:cs="Calibri"/>
                <w:lang w:eastAsia="tr-TR"/>
              </w:rPr>
              <w:br/>
              <w:t>of the compliance monitoring function; and</w:t>
            </w:r>
            <w:r w:rsidRPr="00EB5A35">
              <w:rPr>
                <w:rFonts w:ascii="Calibri" w:eastAsia="Times New Roman" w:hAnsi="Calibri" w:cs="Calibri"/>
                <w:lang w:eastAsia="tr-TR"/>
              </w:rPr>
              <w:br/>
              <w:t>(2) receive at least a half-yearly summary report on non-compliance findings.</w:t>
            </w:r>
            <w:proofErr w:type="gramEnd"/>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58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34</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 (b)</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Kalite sistemi, kuruluşun Part-CAO kapsamında gerçekleştirdiği faaliyetleri izler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74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 xml:space="preserve">The independent audit should be an objective process of routine sample checks of all aspects of the organisation’s ability to carry out continuing airworthiness management and/or maintenance to the standards required by </w:t>
            </w:r>
            <w:proofErr w:type="gramStart"/>
            <w:r w:rsidRPr="00EB5A35">
              <w:rPr>
                <w:rFonts w:ascii="Calibri" w:eastAsia="Times New Roman" w:hAnsi="Calibri" w:cs="Calibri"/>
                <w:lang w:eastAsia="tr-TR"/>
              </w:rPr>
              <w:t>Regulation .</w:t>
            </w:r>
            <w:proofErr w:type="gramEnd"/>
            <w:r w:rsidRPr="00EB5A35">
              <w:rPr>
                <w:rFonts w:ascii="Calibri" w:eastAsia="Times New Roman" w:hAnsi="Calibri" w:cs="Calibri"/>
                <w:lang w:eastAsia="tr-TR"/>
              </w:rPr>
              <w:t xml:space="preserve"> It should include some product sampling (e.g. product audit) as this is the end result of the process.</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The independent audit should provide an objective overview of the complete set of continuingairworthiness-</w:t>
            </w:r>
            <w:r w:rsidRPr="00EB5A35">
              <w:rPr>
                <w:rFonts w:ascii="Calibri" w:eastAsia="Times New Roman" w:hAnsi="Calibri" w:cs="Calibri"/>
                <w:color w:val="FFFFFF"/>
                <w:lang w:eastAsia="tr-TR"/>
              </w:rPr>
              <w:br/>
              <w:t>management- and/or maintenance-related activities.</w:t>
            </w:r>
          </w:p>
        </w:tc>
      </w:tr>
      <w:tr w:rsidR="00E87416" w:rsidRPr="00EB5A35" w:rsidTr="00B454C7">
        <w:trPr>
          <w:trHeight w:val="87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The organisation should establish an audit plan to show when and how often the activities as required by Part-M, Part-ML and Part-CAO will be audited.</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374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AAD-3</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The audit plan should ensure that all aspects of Part-CAO compliance are verified every year, including all the subcontracted activities, and the auditing may be carried out as a complete single exercise or (sub)divided over the annual period. The independent audit should not require each procedure to be verified against each product line when it can be shown that the particular procedure is common to more than one product line and the procedure has been verified every year without resultant findings. Where findings have been identified, the particular procedure should be verified against other product lines until the findings have been rectified, after which the independent audit procedure may revert to a 1-year interval for the particular procedure.</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Provided that there are no safety-related findings, the audit planning cycle specified in this AMC</w:t>
            </w:r>
            <w:r w:rsidRPr="00EB5A35">
              <w:rPr>
                <w:rFonts w:ascii="Calibri" w:eastAsia="Times New Roman" w:hAnsi="Calibri" w:cs="Calibri"/>
                <w:color w:val="FFFFFF"/>
                <w:lang w:eastAsia="tr-TR"/>
              </w:rPr>
              <w:br/>
              <w:t>may be increased by up to 100 %, subject to agreement by the competent authority.</w:t>
            </w:r>
          </w:p>
        </w:tc>
      </w:tr>
      <w:tr w:rsidR="00E87416" w:rsidRPr="00EB5A35" w:rsidTr="00791758">
        <w:trPr>
          <w:trHeight w:val="145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AAD-4</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.100(b)</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proofErr w:type="gramStart"/>
            <w:r w:rsidRPr="00EB5A35">
              <w:rPr>
                <w:rFonts w:ascii="Calibri" w:eastAsia="Times New Roman" w:hAnsi="Calibri" w:cs="Calibri"/>
                <w:lang w:eastAsia="tr-TR"/>
              </w:rPr>
              <w:t>Where the organisation has more than one location approved, the quality system should include a description of how these locations are integrated into the system, and include a plan to audit each location at a frequency consistent with the extent of activity at the particular location, not exceeding 2 years.</w:t>
            </w:r>
            <w:proofErr w:type="gramEnd"/>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174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A report should be issued each time an audit is carried out describing what was checked and the resulting non-compliance findings against applicable requirements and procedures.</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THE USE OF INFORMATION AND COMMUNICATION TECHNOLOGIES (ICT) FOR PERFORMING REMOTE AUDITS Similar provisions to those in GM1 145.A.200(a)(6) and 145.B.300 apply.</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 (c)</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Asgari olarak son 2 yıla ait kalite izleme faaliyetlerinin kayıtları saklanır.</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34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36</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 (f)</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CAO'nun küçük CAO olarak değerlendirilmesi durumunda, Genel Müdürlüğün onaylaması şartıyla kalite sistemi yerine düzenli organizasyonel gözden geçirme uygulayabilir. Bu durumda CAO, sürekli uçuşa elverişlilik görevlerini başka kuruluşlara sözleşmeli olarak devredemez.</w:t>
            </w:r>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An organisation that holds both maintenance and continuing airworthiness management privileges</w:t>
            </w:r>
            <w:r w:rsidRPr="00EB5A35">
              <w:rPr>
                <w:rFonts w:ascii="Calibri" w:eastAsia="Times New Roman" w:hAnsi="Calibri" w:cs="Calibri"/>
                <w:color w:val="FFFFFF"/>
                <w:lang w:eastAsia="tr-TR"/>
              </w:rPr>
              <w:br/>
              <w:t>can be considered to be at the same time:</w:t>
            </w:r>
            <w:r w:rsidRPr="00EB5A35">
              <w:rPr>
                <w:rFonts w:ascii="Calibri" w:eastAsia="Times New Roman" w:hAnsi="Calibri" w:cs="Calibri"/>
                <w:color w:val="FFFFFF"/>
                <w:lang w:eastAsia="tr-TR"/>
              </w:rPr>
              <w:br/>
              <w:t>− a small CAO for one privilege; and</w:t>
            </w:r>
            <w:r w:rsidRPr="00EB5A35">
              <w:rPr>
                <w:rFonts w:ascii="Calibri" w:eastAsia="Times New Roman" w:hAnsi="Calibri" w:cs="Calibri"/>
                <w:color w:val="FFFFFF"/>
                <w:lang w:eastAsia="tr-TR"/>
              </w:rPr>
              <w:br/>
              <w:t>− not a small CAO for the other privilege.</w:t>
            </w:r>
            <w:r w:rsidRPr="00EB5A35">
              <w:rPr>
                <w:rFonts w:ascii="Calibri" w:eastAsia="Times New Roman" w:hAnsi="Calibri" w:cs="Calibri"/>
                <w:color w:val="FFFFFF"/>
                <w:lang w:eastAsia="tr-TR"/>
              </w:rPr>
              <w:br/>
              <w:t>In these situations, the organisation is not considered to be a small CAO as a whole.</w:t>
            </w:r>
          </w:p>
        </w:tc>
      </w:tr>
      <w:tr w:rsidR="00E87416" w:rsidRPr="00EB5A35" w:rsidTr="00791758">
        <w:trPr>
          <w:trHeight w:val="116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AAD-1</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.100(f)</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r w:rsidRPr="00EB5A35">
              <w:rPr>
                <w:rFonts w:ascii="Calibri" w:eastAsia="Times New Roman" w:hAnsi="Calibri" w:cs="Calibri"/>
                <w:lang w:eastAsia="tr-TR"/>
              </w:rPr>
              <w:t>The primary objectives of organisational review are to provide a monitoring function on how the organisation ensures compliance with the applicable requirements, policies and procedures, and to request actions where non-compliances are identified.</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61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AMC1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.100(f)</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lang w:eastAsia="tr-TR"/>
              </w:rPr>
            </w:pPr>
            <w:proofErr w:type="gramStart"/>
            <w:r w:rsidRPr="00EB5A35">
              <w:rPr>
                <w:rFonts w:ascii="Calibri" w:eastAsia="Times New Roman" w:hAnsi="Calibri" w:cs="Calibri"/>
                <w:lang w:eastAsia="tr-TR"/>
              </w:rPr>
              <w:t>The CAO should identify the:</w:t>
            </w:r>
            <w:r w:rsidRPr="00EB5A35">
              <w:rPr>
                <w:rFonts w:ascii="Calibri" w:eastAsia="Times New Roman" w:hAnsi="Calibri" w:cs="Calibri"/>
                <w:lang w:eastAsia="tr-TR"/>
              </w:rPr>
              <w:br/>
              <w:t>(1) person responsible for the organisational review;</w:t>
            </w:r>
            <w:r w:rsidRPr="00EB5A35">
              <w:rPr>
                <w:rFonts w:ascii="Calibri" w:eastAsia="Times New Roman" w:hAnsi="Calibri" w:cs="Calibri"/>
                <w:lang w:eastAsia="tr-TR"/>
              </w:rPr>
              <w:br/>
              <w:t>(2) frequency of the reviews;</w:t>
            </w:r>
            <w:r w:rsidRPr="00EB5A35">
              <w:rPr>
                <w:rFonts w:ascii="Calibri" w:eastAsia="Times New Roman" w:hAnsi="Calibri" w:cs="Calibri"/>
                <w:lang w:eastAsia="tr-TR"/>
              </w:rPr>
              <w:br/>
              <w:t>(3) scope and content of the reviews;</w:t>
            </w:r>
            <w:r w:rsidRPr="00EB5A35">
              <w:rPr>
                <w:rFonts w:ascii="Calibri" w:eastAsia="Times New Roman" w:hAnsi="Calibri" w:cs="Calibri"/>
                <w:lang w:eastAsia="tr-TR"/>
              </w:rPr>
              <w:br/>
              <w:t>(4) persons accomplishing the reviews;</w:t>
            </w:r>
            <w:r w:rsidRPr="00EB5A35">
              <w:rPr>
                <w:rFonts w:ascii="Calibri" w:eastAsia="Times New Roman" w:hAnsi="Calibri" w:cs="Calibri"/>
                <w:lang w:eastAsia="tr-TR"/>
              </w:rPr>
              <w:br/>
              <w:t>(5) procedure for planning, performing and processing review findings; and</w:t>
            </w:r>
            <w:r w:rsidRPr="00EB5A35">
              <w:rPr>
                <w:rFonts w:ascii="Calibri" w:eastAsia="Times New Roman" w:hAnsi="Calibri" w:cs="Calibri"/>
                <w:lang w:eastAsia="tr-TR"/>
              </w:rPr>
              <w:br/>
              <w:t>(6) procedure for ensuring corrective actions are carried out in the appropriate time frame.</w:t>
            </w:r>
            <w:proofErr w:type="gramEnd"/>
          </w:p>
        </w:tc>
        <w:tc>
          <w:tcPr>
            <w:tcW w:w="495"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B5A35" w:rsidRPr="00EB5A35" w:rsidTr="00B454C7">
        <w:trPr>
          <w:trHeight w:val="290"/>
        </w:trPr>
        <w:tc>
          <w:tcPr>
            <w:tcW w:w="16018" w:type="dxa"/>
            <w:gridSpan w:val="10"/>
            <w:tcBorders>
              <w:top w:val="single" w:sz="4" w:space="0" w:color="3366FF"/>
              <w:left w:val="single" w:sz="4" w:space="0" w:color="3366FF"/>
              <w:bottom w:val="single" w:sz="4" w:space="0" w:color="3366FF"/>
              <w:right w:val="single" w:sz="4" w:space="0" w:color="3366FF"/>
            </w:tcBorders>
            <w:shd w:val="clear" w:color="000000" w:fill="FFC000"/>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.105 Kuruluştaki değişiklikler</w:t>
            </w:r>
          </w:p>
        </w:tc>
      </w:tr>
      <w:tr w:rsidR="00E87416" w:rsidRPr="00EB5A35" w:rsidTr="00B454C7">
        <w:trPr>
          <w:trHeight w:val="116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37</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.105 (a)</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xml:space="preserve">CAO, Genel Müdürlüğün Part-CAO ile sürekli uygunluğu tespit etmesine imkan vermek amacıyla, </w:t>
            </w: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.105 (a)'da belirtilen değişiklikler gerçekleşmeden önce Genel Müdürlüğe bildirmekten sorumludur.</w:t>
            </w:r>
          </w:p>
        </w:tc>
        <w:tc>
          <w:tcPr>
            <w:tcW w:w="495"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AAD-1</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Onay sertifikasında yer alan bilgileri ve CAO onay koşullarını etkileyen değişikler,</w:t>
            </w:r>
          </w:p>
        </w:tc>
        <w:tc>
          <w:tcPr>
            <w:tcW w:w="495"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9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AAD-2</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.035(a) ve (b)’de belirtilen yöneticilerdeki değişiklikler,</w:t>
            </w:r>
          </w:p>
        </w:tc>
        <w:tc>
          <w:tcPr>
            <w:tcW w:w="495"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791758">
        <w:trPr>
          <w:trHeight w:val="1450"/>
        </w:trPr>
        <w:tc>
          <w:tcPr>
            <w:tcW w:w="1560" w:type="dxa"/>
            <w:tcBorders>
              <w:top w:val="single" w:sz="4" w:space="0" w:color="2E74B5" w:themeColor="accent1" w:themeShade="BF"/>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lastRenderedPageBreak/>
              <w:t>AAD-3</w:t>
            </w:r>
          </w:p>
        </w:tc>
        <w:tc>
          <w:tcPr>
            <w:tcW w:w="184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Azami kalkış ağırlığı (MTOM) 2730kg üzeri uçaklar ve Azami kalkış ağırlığı (MTOM) 1200kg üzeri veya 4 koltuk üzerine sertifikalandırılmış helikopterler durumunda, </w:t>
            </w: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.020 (a)(1) bendinde belirtilen onay kapsamında yer alan hava aracı tiplerindeki değişiklikler,</w:t>
            </w:r>
          </w:p>
        </w:tc>
        <w:tc>
          <w:tcPr>
            <w:tcW w:w="495"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single" w:sz="4" w:space="0" w:color="2E74B5" w:themeColor="accent1" w:themeShade="BF"/>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single" w:sz="4" w:space="0" w:color="2E74B5" w:themeColor="accent1" w:themeShade="BF"/>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AAD-4</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tam türbin motorlar durumunda, </w:t>
            </w: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.020 (a)(2) bendinde belirtilen onay kapsamındaki değişiklikler,</w:t>
            </w:r>
          </w:p>
        </w:tc>
        <w:tc>
          <w:tcPr>
            <w:tcW w:w="495"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58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AAD-5</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r w:rsidRPr="00EB5A35">
              <w:rPr>
                <w:rFonts w:ascii="Calibri" w:eastAsia="Times New Roman" w:hAnsi="Calibri" w:cs="Calibri"/>
                <w:lang w:eastAsia="tr-TR"/>
              </w:rPr>
              <w:t> </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proofErr w:type="gramStart"/>
            <w:r w:rsidRPr="00EB5A35">
              <w:rPr>
                <w:rFonts w:ascii="Calibri" w:eastAsia="Times New Roman" w:hAnsi="Calibri" w:cs="Calibri"/>
                <w:color w:val="000000"/>
                <w:lang w:eastAsia="tr-TR"/>
              </w:rPr>
              <w:t>CAO.A</w:t>
            </w:r>
            <w:proofErr w:type="gramEnd"/>
            <w:r w:rsidRPr="00EB5A35">
              <w:rPr>
                <w:rFonts w:ascii="Calibri" w:eastAsia="Times New Roman" w:hAnsi="Calibri" w:cs="Calibri"/>
                <w:color w:val="000000"/>
                <w:lang w:eastAsia="tr-TR"/>
              </w:rPr>
              <w:t>.105 (b) bendinde belirtilen kontrol prosedüründe yapılacak değişiklikler.</w:t>
            </w:r>
          </w:p>
        </w:tc>
        <w:tc>
          <w:tcPr>
            <w:tcW w:w="495"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E87416" w:rsidRPr="00EB5A35" w:rsidTr="00B454C7">
        <w:trPr>
          <w:trHeight w:val="2030"/>
        </w:trPr>
        <w:tc>
          <w:tcPr>
            <w:tcW w:w="1560" w:type="dxa"/>
            <w:tcBorders>
              <w:top w:val="nil"/>
              <w:left w:val="single" w:sz="4" w:space="0" w:color="3366FF"/>
              <w:bottom w:val="single" w:sz="4" w:space="0" w:color="3366FF"/>
              <w:right w:val="single" w:sz="4" w:space="0" w:color="3366FF"/>
            </w:tcBorders>
            <w:shd w:val="clear" w:color="auto" w:fill="auto"/>
            <w:noWrap/>
            <w:vAlign w:val="center"/>
            <w:hideMark/>
          </w:tcPr>
          <w:p w:rsidR="00EB5A35" w:rsidRPr="00EB5A35" w:rsidRDefault="00EB5A35" w:rsidP="00EB5A35">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38</w:t>
            </w:r>
          </w:p>
        </w:tc>
        <w:tc>
          <w:tcPr>
            <w:tcW w:w="184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lang w:eastAsia="tr-TR"/>
              </w:rPr>
            </w:pPr>
            <w:proofErr w:type="gramStart"/>
            <w:r w:rsidRPr="00EB5A35">
              <w:rPr>
                <w:rFonts w:ascii="Calibri" w:eastAsia="Times New Roman" w:hAnsi="Calibri" w:cs="Calibri"/>
                <w:lang w:eastAsia="tr-TR"/>
              </w:rPr>
              <w:t>CAO.A</w:t>
            </w:r>
            <w:proofErr w:type="gramEnd"/>
            <w:r w:rsidRPr="00EB5A35">
              <w:rPr>
                <w:rFonts w:ascii="Calibri" w:eastAsia="Times New Roman" w:hAnsi="Calibri" w:cs="Calibri"/>
                <w:lang w:eastAsia="tr-TR"/>
              </w:rPr>
              <w:t>.105 (b)</w:t>
            </w:r>
          </w:p>
        </w:tc>
        <w:tc>
          <w:tcPr>
            <w:tcW w:w="48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jc w:val="both"/>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İstasyonlar, tesisler, </w:t>
            </w:r>
            <w:proofErr w:type="gramStart"/>
            <w:r w:rsidRPr="00EB5A35">
              <w:rPr>
                <w:rFonts w:ascii="Calibri" w:eastAsia="Times New Roman" w:hAnsi="Calibri" w:cs="Calibri"/>
                <w:color w:val="000000"/>
                <w:lang w:eastAsia="tr-TR"/>
              </w:rPr>
              <w:t>ekipman</w:t>
            </w:r>
            <w:proofErr w:type="gramEnd"/>
            <w:r w:rsidRPr="00EB5A35">
              <w:rPr>
                <w:rFonts w:ascii="Calibri" w:eastAsia="Times New Roman" w:hAnsi="Calibri" w:cs="Calibri"/>
                <w:color w:val="000000"/>
                <w:lang w:eastAsia="tr-TR"/>
              </w:rPr>
              <w:t>, aletler, malzeme, prosedürler, onay kapsamı ve personeldeki diğer tüm değişiklikler, CAE içerisinde tanımlanan kontrol prosedürüne uygun olarak CAO tarafından kontrol edilir.</w:t>
            </w:r>
            <w:r w:rsidRPr="00EB5A35">
              <w:rPr>
                <w:rFonts w:ascii="Calibri" w:eastAsia="Times New Roman" w:hAnsi="Calibri" w:cs="Calibri"/>
                <w:color w:val="000000"/>
                <w:lang w:eastAsia="tr-TR"/>
              </w:rPr>
              <w:br/>
              <w:t>CAO bu değişiklikleri tanımlayan bir bildirimi ve bu kapsamda güncellenen CAE'yi değişiklikler gerçekleşmesini takip eden 15 gün içerisinde Genel Müdürlüğe sunar.</w:t>
            </w:r>
          </w:p>
        </w:tc>
        <w:tc>
          <w:tcPr>
            <w:tcW w:w="495"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4"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502"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87"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19"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46" w:type="dxa"/>
            <w:tcBorders>
              <w:top w:val="nil"/>
              <w:left w:val="nil"/>
              <w:bottom w:val="single" w:sz="4" w:space="0" w:color="3366FF"/>
              <w:right w:val="single" w:sz="4" w:space="0" w:color="3366FF"/>
            </w:tcBorders>
            <w:shd w:val="clear" w:color="auto" w:fill="auto"/>
            <w:vAlign w:val="center"/>
            <w:hideMark/>
          </w:tcPr>
          <w:p w:rsidR="00EB5A35" w:rsidRPr="00EB5A35" w:rsidRDefault="00EB5A35" w:rsidP="00EB5A35">
            <w:pPr>
              <w:spacing w:after="0" w:line="240" w:lineRule="auto"/>
              <w:rPr>
                <w:rFonts w:ascii="Calibri" w:eastAsia="Times New Roman" w:hAnsi="Calibri" w:cs="Calibri"/>
                <w:color w:val="000000"/>
                <w:lang w:eastAsia="tr-TR"/>
              </w:rPr>
            </w:pPr>
            <w:r w:rsidRPr="00EB5A35">
              <w:rPr>
                <w:rFonts w:ascii="Calibri" w:eastAsia="Times New Roman" w:hAnsi="Calibri" w:cs="Calibri"/>
                <w:color w:val="000000"/>
                <w:lang w:eastAsia="tr-TR"/>
              </w:rPr>
              <w:t> </w:t>
            </w:r>
          </w:p>
        </w:tc>
        <w:tc>
          <w:tcPr>
            <w:tcW w:w="4971" w:type="dxa"/>
            <w:tcBorders>
              <w:top w:val="nil"/>
              <w:left w:val="nil"/>
              <w:bottom w:val="single" w:sz="4" w:space="0" w:color="3366FF"/>
              <w:right w:val="single" w:sz="4" w:space="0" w:color="3366FF"/>
            </w:tcBorders>
            <w:shd w:val="clear" w:color="000000" w:fill="3366FF"/>
            <w:noWrap/>
            <w:hideMark/>
          </w:tcPr>
          <w:p w:rsidR="00EB5A35" w:rsidRPr="00EB5A35" w:rsidRDefault="00EB5A35" w:rsidP="00EB5A35">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bl>
    <w:p w:rsidR="00EB5A35" w:rsidRDefault="00EB5A35"/>
    <w:sectPr w:rsidR="00EB5A35" w:rsidSect="00EB5A35">
      <w:headerReference w:type="default" r:id="rId7"/>
      <w:footerReference w:type="default" r:id="rId8"/>
      <w:pgSz w:w="16834" w:h="11909" w:orient="landscape" w:code="9"/>
      <w:pgMar w:top="720" w:right="431" w:bottom="936" w:left="284" w:header="567" w:footer="227" w:gutter="0"/>
      <w:paperSrc w:first="15" w:other="15"/>
      <w:cols w:space="708"/>
      <w:vAlign w:val="cen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12" w:rsidRDefault="001B0012" w:rsidP="00C554B0">
      <w:pPr>
        <w:spacing w:after="0" w:line="240" w:lineRule="auto"/>
      </w:pPr>
      <w:r>
        <w:separator/>
      </w:r>
    </w:p>
  </w:endnote>
  <w:endnote w:type="continuationSeparator" w:id="0">
    <w:p w:rsidR="001B0012" w:rsidRDefault="001B0012" w:rsidP="00C5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070"/>
      <w:gridCol w:w="8049"/>
    </w:tblGrid>
    <w:tr w:rsidR="00B454C7" w:rsidTr="003D2BD8">
      <w:trPr>
        <w:jc w:val="center"/>
      </w:trPr>
      <w:tc>
        <w:tcPr>
          <w:tcW w:w="7999" w:type="dxa"/>
          <w:shd w:val="clear" w:color="auto" w:fill="auto"/>
          <w:vAlign w:val="center"/>
        </w:tcPr>
        <w:p w:rsidR="00B454C7" w:rsidRDefault="00B454C7" w:rsidP="00B454C7">
          <w:pPr>
            <w:pStyle w:val="AltBilgi"/>
            <w:rPr>
              <w:caps/>
              <w:color w:val="808080" w:themeColor="background1" w:themeShade="80"/>
              <w:sz w:val="18"/>
              <w:szCs w:val="18"/>
            </w:rPr>
          </w:pPr>
        </w:p>
      </w:tc>
      <w:tc>
        <w:tcPr>
          <w:tcW w:w="7978" w:type="dxa"/>
          <w:shd w:val="clear" w:color="auto" w:fill="auto"/>
          <w:vAlign w:val="center"/>
        </w:tcPr>
        <w:p w:rsidR="00B454C7" w:rsidRDefault="00B454C7" w:rsidP="00B454C7">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76B22">
            <w:rPr>
              <w:caps/>
              <w:noProof/>
              <w:color w:val="808080" w:themeColor="background1" w:themeShade="80"/>
              <w:sz w:val="18"/>
              <w:szCs w:val="18"/>
            </w:rPr>
            <w:t>21</w:t>
          </w:r>
          <w:r>
            <w:rPr>
              <w:caps/>
              <w:color w:val="808080" w:themeColor="background1" w:themeShade="80"/>
              <w:sz w:val="18"/>
              <w:szCs w:val="18"/>
            </w:rPr>
            <w:fldChar w:fldCharType="end"/>
          </w:r>
          <w:r w:rsidR="00791758">
            <w:rPr>
              <w:caps/>
              <w:color w:val="808080" w:themeColor="background1" w:themeShade="80"/>
              <w:sz w:val="18"/>
              <w:szCs w:val="18"/>
            </w:rPr>
            <w:t>/29</w:t>
          </w:r>
        </w:p>
      </w:tc>
    </w:tr>
  </w:tbl>
  <w:p w:rsidR="00B454C7" w:rsidRDefault="00B454C7">
    <w:pPr>
      <w:pStyle w:val="AltBilgi"/>
    </w:pPr>
    <w:r>
      <w:t xml:space="preserve">                Doküman No: </w:t>
    </w:r>
    <w:proofErr w:type="gramStart"/>
    <w:r w:rsidRPr="00701D6E">
      <w:t>SHGM.UED</w:t>
    </w:r>
    <w:proofErr w:type="gramEnd"/>
    <w:r w:rsidR="00524F9D">
      <w:t>.48082085.FR.66</w:t>
    </w:r>
    <w:r>
      <w:t xml:space="preserve">                                     </w:t>
    </w:r>
    <w:r w:rsidR="00524F9D">
      <w:t xml:space="preserve">   </w:t>
    </w:r>
    <w:r>
      <w:t xml:space="preserve">Yürürlük Tarihi: 18.03.2024                               </w:t>
    </w:r>
    <w:r w:rsidR="00524F9D">
      <w:t xml:space="preserve">                                    </w:t>
    </w:r>
    <w:r>
      <w:t xml:space="preserve"> Revizyon No/Tarih: 00/</w:t>
    </w:r>
    <w:r w:rsidR="00076B22">
      <w:t>00</w:t>
    </w:r>
    <w:r>
      <w:t>.0</w:t>
    </w:r>
    <w:r w:rsidR="00076B22">
      <w:t>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12" w:rsidRDefault="001B0012" w:rsidP="00C554B0">
      <w:pPr>
        <w:spacing w:after="0" w:line="240" w:lineRule="auto"/>
      </w:pPr>
      <w:r>
        <w:separator/>
      </w:r>
    </w:p>
  </w:footnote>
  <w:footnote w:type="continuationSeparator" w:id="0">
    <w:p w:rsidR="001B0012" w:rsidRDefault="001B0012" w:rsidP="00C5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286" w:type="dxa"/>
      <w:tblCellMar>
        <w:left w:w="70" w:type="dxa"/>
        <w:right w:w="70" w:type="dxa"/>
      </w:tblCellMar>
      <w:tblLook w:val="04A0" w:firstRow="1" w:lastRow="0" w:firstColumn="1" w:lastColumn="0" w:noHBand="0" w:noVBand="1"/>
    </w:tblPr>
    <w:tblGrid>
      <w:gridCol w:w="1560"/>
      <w:gridCol w:w="1842"/>
      <w:gridCol w:w="2268"/>
      <w:gridCol w:w="2534"/>
      <w:gridCol w:w="495"/>
      <w:gridCol w:w="494"/>
      <w:gridCol w:w="502"/>
      <w:gridCol w:w="487"/>
      <w:gridCol w:w="290"/>
      <w:gridCol w:w="129"/>
      <w:gridCol w:w="366"/>
      <w:gridCol w:w="80"/>
      <w:gridCol w:w="414"/>
      <w:gridCol w:w="502"/>
      <w:gridCol w:w="487"/>
      <w:gridCol w:w="419"/>
      <w:gridCol w:w="446"/>
      <w:gridCol w:w="2703"/>
      <w:gridCol w:w="2268"/>
    </w:tblGrid>
    <w:tr w:rsidR="00B454C7" w:rsidRPr="00EB5A35" w:rsidTr="003D2BD8">
      <w:trPr>
        <w:trHeight w:val="290"/>
      </w:trPr>
      <w:tc>
        <w:tcPr>
          <w:tcW w:w="1560" w:type="dxa"/>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sz w:val="24"/>
              <w:szCs w:val="24"/>
              <w:lang w:eastAsia="tr-TR"/>
            </w:rPr>
          </w:pPr>
        </w:p>
      </w:tc>
      <w:tc>
        <w:tcPr>
          <w:tcW w:w="4110" w:type="dxa"/>
          <w:gridSpan w:val="2"/>
          <w:tcBorders>
            <w:top w:val="nil"/>
            <w:left w:val="nil"/>
            <w:bottom w:val="nil"/>
            <w:right w:val="nil"/>
          </w:tcBorders>
          <w:shd w:val="clear" w:color="auto" w:fill="auto"/>
          <w:noWrap/>
          <w:vAlign w:val="center"/>
          <w:hideMark/>
        </w:tcPr>
        <w:p w:rsidR="00B454C7" w:rsidRPr="00EB5A35" w:rsidRDefault="00B454C7" w:rsidP="00B454C7">
          <w:pPr>
            <w:spacing w:after="0" w:line="240" w:lineRule="auto"/>
            <w:jc w:val="center"/>
            <w:rPr>
              <w:rFonts w:ascii="Times New Roman" w:eastAsia="Times New Roman" w:hAnsi="Times New Roman" w:cs="Times New Roman"/>
              <w:sz w:val="20"/>
              <w:szCs w:val="20"/>
              <w:lang w:eastAsia="tr-TR"/>
            </w:rPr>
          </w:pPr>
        </w:p>
      </w:tc>
      <w:tc>
        <w:tcPr>
          <w:tcW w:w="4802" w:type="dxa"/>
          <w:gridSpan w:val="6"/>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95" w:type="dxa"/>
          <w:gridSpan w:val="2"/>
          <w:tcBorders>
            <w:top w:val="nil"/>
            <w:left w:val="nil"/>
            <w:bottom w:val="nil"/>
            <w:right w:val="nil"/>
          </w:tcBorders>
          <w:shd w:val="clear" w:color="auto" w:fill="auto"/>
          <w:noWrap/>
          <w:hideMark/>
        </w:tcPr>
        <w:p w:rsidR="00B454C7" w:rsidRPr="00EB5A35" w:rsidRDefault="00B454C7" w:rsidP="00B454C7">
          <w:pPr>
            <w:spacing w:after="0" w:line="240" w:lineRule="auto"/>
            <w:jc w:val="both"/>
            <w:rPr>
              <w:rFonts w:ascii="Times New Roman" w:eastAsia="Times New Roman" w:hAnsi="Times New Roman" w:cs="Times New Roman"/>
              <w:sz w:val="20"/>
              <w:szCs w:val="20"/>
              <w:lang w:eastAsia="tr-TR"/>
            </w:rPr>
          </w:pPr>
        </w:p>
      </w:tc>
      <w:tc>
        <w:tcPr>
          <w:tcW w:w="494" w:type="dxa"/>
          <w:gridSpan w:val="2"/>
          <w:tcBorders>
            <w:top w:val="nil"/>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502" w:type="dxa"/>
          <w:tcBorders>
            <w:top w:val="nil"/>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87" w:type="dxa"/>
          <w:tcBorders>
            <w:top w:val="nil"/>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19" w:type="dxa"/>
          <w:tcBorders>
            <w:top w:val="nil"/>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46" w:type="dxa"/>
          <w:tcBorders>
            <w:top w:val="nil"/>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971" w:type="dxa"/>
          <w:gridSpan w:val="2"/>
          <w:tcBorders>
            <w:top w:val="nil"/>
            <w:left w:val="nil"/>
            <w:bottom w:val="nil"/>
            <w:right w:val="nil"/>
          </w:tcBorders>
          <w:shd w:val="clear" w:color="000000" w:fill="FFFFFF"/>
          <w:noWrap/>
          <w:hideMark/>
        </w:tcPr>
        <w:p w:rsidR="00B454C7" w:rsidRPr="00EB5A35" w:rsidRDefault="00B454C7" w:rsidP="00B454C7">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r w:rsidR="00B454C7" w:rsidRPr="00EB5A35" w:rsidTr="003D2BD8">
      <w:trPr>
        <w:trHeight w:val="290"/>
      </w:trPr>
      <w:tc>
        <w:tcPr>
          <w:tcW w:w="1560" w:type="dxa"/>
          <w:tcBorders>
            <w:top w:val="nil"/>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color w:val="000000"/>
              <w:sz w:val="20"/>
              <w:szCs w:val="20"/>
              <w:lang w:eastAsia="tr-TR"/>
            </w:rPr>
          </w:pPr>
        </w:p>
        <w:tbl>
          <w:tblPr>
            <w:tblW w:w="0" w:type="auto"/>
            <w:tblCellSpacing w:w="0" w:type="dxa"/>
            <w:tblCellMar>
              <w:left w:w="0" w:type="dxa"/>
              <w:right w:w="0" w:type="dxa"/>
            </w:tblCellMar>
            <w:tblLook w:val="04A0" w:firstRow="1" w:lastRow="0" w:firstColumn="1" w:lastColumn="0" w:noHBand="0" w:noVBand="1"/>
          </w:tblPr>
          <w:tblGrid>
            <w:gridCol w:w="1420"/>
          </w:tblGrid>
          <w:tr w:rsidR="00B454C7" w:rsidRPr="00EB5A35" w:rsidTr="003D2BD8">
            <w:trPr>
              <w:trHeight w:val="290"/>
              <w:tblCellSpacing w:w="0" w:type="dxa"/>
            </w:trPr>
            <w:tc>
              <w:tcPr>
                <w:tcW w:w="1420" w:type="dxa"/>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color w:val="000000"/>
                    <w:sz w:val="20"/>
                    <w:szCs w:val="20"/>
                    <w:lang w:eastAsia="tr-TR"/>
                  </w:rPr>
                </w:pPr>
              </w:p>
            </w:tc>
          </w:tr>
        </w:tbl>
        <w:p w:rsidR="00B454C7" w:rsidRPr="00EB5A35" w:rsidRDefault="00B454C7" w:rsidP="00B454C7">
          <w:pPr>
            <w:spacing w:after="0" w:line="240" w:lineRule="auto"/>
            <w:rPr>
              <w:rFonts w:ascii="Times New Roman" w:eastAsia="Times New Roman" w:hAnsi="Times New Roman" w:cs="Times New Roman"/>
              <w:color w:val="000000"/>
              <w:sz w:val="20"/>
              <w:szCs w:val="20"/>
              <w:lang w:eastAsia="tr-TR"/>
            </w:rPr>
          </w:pPr>
        </w:p>
      </w:tc>
      <w:tc>
        <w:tcPr>
          <w:tcW w:w="4110" w:type="dxa"/>
          <w:gridSpan w:val="2"/>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Sivil Havacılık Genel Müdürlüğü</w:t>
          </w:r>
        </w:p>
      </w:tc>
      <w:tc>
        <w:tcPr>
          <w:tcW w:w="4802" w:type="dxa"/>
          <w:gridSpan w:val="6"/>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Calibri" w:eastAsia="Times New Roman" w:hAnsi="Calibri" w:cs="Calibri"/>
              <w:b/>
              <w:bCs/>
              <w:color w:val="000000"/>
              <w:lang w:eastAsia="tr-TR"/>
            </w:rPr>
          </w:pPr>
        </w:p>
      </w:tc>
      <w:tc>
        <w:tcPr>
          <w:tcW w:w="495" w:type="dxa"/>
          <w:gridSpan w:val="2"/>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94" w:type="dxa"/>
          <w:gridSpan w:val="2"/>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502" w:type="dxa"/>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87" w:type="dxa"/>
          <w:tcBorders>
            <w:top w:val="nil"/>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5836" w:type="dxa"/>
          <w:gridSpan w:val="4"/>
          <w:tcBorders>
            <w:top w:val="nil"/>
            <w:left w:val="nil"/>
            <w:bottom w:val="nil"/>
            <w:right w:val="nil"/>
          </w:tcBorders>
          <w:shd w:val="clear" w:color="auto" w:fill="auto"/>
          <w:noWrap/>
          <w:vAlign w:val="center"/>
          <w:hideMark/>
        </w:tcPr>
        <w:p w:rsidR="00B454C7" w:rsidRPr="00EB5A35" w:rsidRDefault="00B454C7" w:rsidP="00B454C7">
          <w:pPr>
            <w:spacing w:after="0" w:line="240" w:lineRule="auto"/>
            <w:ind w:right="5354"/>
            <w:rPr>
              <w:rFonts w:ascii="Times New Roman" w:eastAsia="Times New Roman" w:hAnsi="Times New Roman" w:cs="Times New Roman"/>
              <w:sz w:val="20"/>
              <w:szCs w:val="20"/>
              <w:lang w:eastAsia="tr-TR"/>
            </w:rPr>
          </w:pPr>
        </w:p>
      </w:tc>
    </w:tr>
    <w:tr w:rsidR="00B454C7" w:rsidRPr="00EB5A35" w:rsidTr="003D2BD8">
      <w:trPr>
        <w:gridAfter w:val="1"/>
        <w:wAfter w:w="2268" w:type="dxa"/>
        <w:trHeight w:val="290"/>
      </w:trPr>
      <w:tc>
        <w:tcPr>
          <w:tcW w:w="1560" w:type="dxa"/>
          <w:tcBorders>
            <w:top w:val="nil"/>
            <w:left w:val="nil"/>
            <w:bottom w:val="nil"/>
            <w:right w:val="nil"/>
          </w:tcBorders>
          <w:shd w:val="clear" w:color="auto" w:fill="auto"/>
          <w:noWrap/>
          <w:vAlign w:val="center"/>
          <w:hideMark/>
        </w:tcPr>
        <w:p w:rsidR="00B454C7" w:rsidRPr="00EB5A35" w:rsidRDefault="00B454C7" w:rsidP="00B454C7">
          <w:pPr>
            <w:spacing w:after="0" w:line="240" w:lineRule="auto"/>
            <w:jc w:val="right"/>
            <w:rPr>
              <w:rFonts w:ascii="Times New Roman" w:eastAsia="Times New Roman" w:hAnsi="Times New Roman" w:cs="Times New Roman"/>
              <w:sz w:val="20"/>
              <w:szCs w:val="20"/>
              <w:lang w:eastAsia="tr-TR"/>
            </w:rPr>
          </w:pPr>
          <w:r w:rsidRPr="00EB5A35">
            <w:rPr>
              <w:rFonts w:ascii="Times New Roman" w:eastAsia="Times New Roman" w:hAnsi="Times New Roman" w:cs="Times New Roman"/>
              <w:noProof/>
              <w:color w:val="000000"/>
              <w:sz w:val="20"/>
              <w:szCs w:val="20"/>
              <w:lang w:eastAsia="tr-TR"/>
            </w:rPr>
            <w:drawing>
              <wp:anchor distT="0" distB="0" distL="114300" distR="114300" simplePos="0" relativeHeight="251659264" behindDoc="0" locked="0" layoutInCell="1" allowOverlap="1" wp14:anchorId="4839CDCA" wp14:editId="6C988D48">
                <wp:simplePos x="0" y="0"/>
                <wp:positionH relativeFrom="column">
                  <wp:posOffset>98425</wp:posOffset>
                </wp:positionH>
                <wp:positionV relativeFrom="paragraph">
                  <wp:posOffset>-24765</wp:posOffset>
                </wp:positionV>
                <wp:extent cx="755650" cy="406400"/>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406400"/>
                        </a:xfrm>
                        <a:prstGeom prst="rect">
                          <a:avLst/>
                        </a:prstGeom>
                      </pic:spPr>
                    </pic:pic>
                  </a:graphicData>
                </a:graphic>
                <wp14:sizeRelH relativeFrom="page">
                  <wp14:pctWidth>0</wp14:pctWidth>
                </wp14:sizeRelH>
                <wp14:sizeRelV relativeFrom="page">
                  <wp14:pctHeight>0</wp14:pctHeight>
                </wp14:sizeRelV>
              </wp:anchor>
            </w:drawing>
          </w:r>
        </w:p>
      </w:tc>
      <w:tc>
        <w:tcPr>
          <w:tcW w:w="9041" w:type="dxa"/>
          <w:gridSpan w:val="9"/>
          <w:vMerge w:val="restart"/>
          <w:tcBorders>
            <w:top w:val="single" w:sz="4" w:space="0" w:color="3366FF"/>
            <w:left w:val="single" w:sz="4" w:space="0" w:color="3366FF"/>
            <w:bottom w:val="single" w:sz="4" w:space="0" w:color="3366FF"/>
            <w:right w:val="single" w:sz="4" w:space="0" w:color="2E74B5" w:themeColor="accent1" w:themeShade="BF"/>
          </w:tcBorders>
          <w:shd w:val="clear" w:color="auto" w:fill="auto"/>
          <w:vAlign w:val="center"/>
          <w:hideMark/>
        </w:tcPr>
        <w:p w:rsidR="00B454C7" w:rsidRPr="00EB5A35" w:rsidRDefault="00B454C7" w:rsidP="00B454C7">
          <w:pPr>
            <w:spacing w:after="0" w:line="240" w:lineRule="auto"/>
            <w:jc w:val="center"/>
            <w:rPr>
              <w:rFonts w:ascii="Calibri" w:eastAsia="Times New Roman" w:hAnsi="Calibri" w:cs="Calibri"/>
              <w:color w:val="000000"/>
              <w:lang w:eastAsia="tr-TR"/>
            </w:rPr>
          </w:pPr>
          <w:r w:rsidRPr="00EB5A35">
            <w:rPr>
              <w:rFonts w:ascii="Calibri" w:eastAsia="Times New Roman" w:hAnsi="Calibri" w:cs="Calibri"/>
              <w:color w:val="000000"/>
              <w:lang w:eastAsia="tr-TR"/>
            </w:rPr>
            <w:t xml:space="preserve">CAO </w:t>
          </w:r>
          <w:r>
            <w:rPr>
              <w:rFonts w:ascii="Calibri" w:eastAsia="Times New Roman" w:hAnsi="Calibri" w:cs="Calibri"/>
              <w:color w:val="000000"/>
              <w:lang w:eastAsia="tr-TR"/>
            </w:rPr>
            <w:t>Denetim Kontrol Listesi</w:t>
          </w:r>
        </w:p>
      </w:tc>
      <w:tc>
        <w:tcPr>
          <w:tcW w:w="5417" w:type="dxa"/>
          <w:gridSpan w:val="8"/>
          <w:vMerge w:val="restart"/>
          <w:tcBorders>
            <w:top w:val="single" w:sz="4" w:space="0" w:color="3366FF"/>
            <w:left w:val="single" w:sz="4" w:space="0" w:color="2E74B5" w:themeColor="accent1" w:themeShade="BF"/>
            <w:bottom w:val="single" w:sz="4" w:space="0" w:color="3366FF"/>
            <w:right w:val="single" w:sz="4" w:space="0" w:color="2E74B5" w:themeColor="accent1" w:themeShade="BF"/>
          </w:tcBorders>
          <w:shd w:val="clear" w:color="auto" w:fill="auto"/>
          <w:vAlign w:val="center"/>
          <w:hideMark/>
        </w:tcPr>
        <w:p w:rsidR="00B454C7" w:rsidRPr="00EB5A35" w:rsidRDefault="00B454C7" w:rsidP="00076B2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Revizyon</w:t>
          </w:r>
          <w:r w:rsidRPr="00EB5A35">
            <w:rPr>
              <w:rFonts w:ascii="Calibri" w:eastAsia="Times New Roman" w:hAnsi="Calibri" w:cs="Calibri"/>
              <w:color w:val="000000"/>
              <w:lang w:eastAsia="tr-TR"/>
            </w:rPr>
            <w:t xml:space="preserve"> 0</w:t>
          </w:r>
          <w:r>
            <w:rPr>
              <w:rFonts w:ascii="Calibri" w:eastAsia="Times New Roman" w:hAnsi="Calibri" w:cs="Calibri"/>
              <w:color w:val="000000"/>
              <w:lang w:eastAsia="tr-TR"/>
            </w:rPr>
            <w:t>0</w:t>
          </w:r>
          <w:r w:rsidRPr="00EB5A35">
            <w:rPr>
              <w:rFonts w:ascii="Calibri" w:eastAsia="Times New Roman" w:hAnsi="Calibri" w:cs="Calibri"/>
              <w:color w:val="000000"/>
              <w:lang w:eastAsia="tr-TR"/>
            </w:rPr>
            <w:br/>
          </w:r>
          <w:r w:rsidR="00076B22">
            <w:rPr>
              <w:rFonts w:ascii="Calibri" w:eastAsia="Times New Roman" w:hAnsi="Calibri" w:cs="Calibri"/>
              <w:color w:val="000000"/>
              <w:lang w:eastAsia="tr-TR"/>
            </w:rPr>
            <w:t>00</w:t>
          </w:r>
          <w:r w:rsidRPr="00EB5A35">
            <w:rPr>
              <w:rFonts w:ascii="Calibri" w:eastAsia="Times New Roman" w:hAnsi="Calibri" w:cs="Calibri"/>
              <w:color w:val="000000"/>
              <w:lang w:eastAsia="tr-TR"/>
            </w:rPr>
            <w:t>.0</w:t>
          </w:r>
          <w:r w:rsidR="00076B22">
            <w:rPr>
              <w:rFonts w:ascii="Calibri" w:eastAsia="Times New Roman" w:hAnsi="Calibri" w:cs="Calibri"/>
              <w:color w:val="000000"/>
              <w:lang w:eastAsia="tr-TR"/>
            </w:rPr>
            <w:t>0.0000</w:t>
          </w:r>
        </w:p>
      </w:tc>
    </w:tr>
    <w:tr w:rsidR="00B454C7" w:rsidRPr="00EB5A35" w:rsidTr="003D2BD8">
      <w:trPr>
        <w:gridAfter w:val="1"/>
        <w:wAfter w:w="2268" w:type="dxa"/>
        <w:trHeight w:val="290"/>
      </w:trPr>
      <w:tc>
        <w:tcPr>
          <w:tcW w:w="1560" w:type="dxa"/>
          <w:tcBorders>
            <w:top w:val="nil"/>
            <w:left w:val="nil"/>
            <w:bottom w:val="nil"/>
            <w:right w:val="single" w:sz="4" w:space="0" w:color="2E74B5" w:themeColor="accent1" w:themeShade="BF"/>
          </w:tcBorders>
          <w:shd w:val="clear" w:color="auto" w:fill="auto"/>
          <w:noWrap/>
          <w:vAlign w:val="center"/>
          <w:hideMark/>
        </w:tcPr>
        <w:p w:rsidR="00B454C7" w:rsidRPr="00EB5A35" w:rsidRDefault="00B454C7" w:rsidP="00B454C7">
          <w:pPr>
            <w:spacing w:after="0" w:line="240" w:lineRule="auto"/>
            <w:jc w:val="center"/>
            <w:rPr>
              <w:rFonts w:ascii="Calibri" w:eastAsia="Times New Roman" w:hAnsi="Calibri" w:cs="Calibri"/>
              <w:color w:val="000000"/>
              <w:lang w:eastAsia="tr-TR"/>
            </w:rPr>
          </w:pPr>
        </w:p>
      </w:tc>
      <w:tc>
        <w:tcPr>
          <w:tcW w:w="9041" w:type="dxa"/>
          <w:gridSpan w:val="9"/>
          <w:vMerge/>
          <w:tcBorders>
            <w:top w:val="nil"/>
            <w:left w:val="single" w:sz="4" w:space="0" w:color="2E74B5" w:themeColor="accent1" w:themeShade="BF"/>
            <w:bottom w:val="nil"/>
            <w:right w:val="single" w:sz="4" w:space="0" w:color="2E74B5" w:themeColor="accent1" w:themeShade="BF"/>
          </w:tcBorders>
          <w:vAlign w:val="center"/>
          <w:hideMark/>
        </w:tcPr>
        <w:p w:rsidR="00B454C7" w:rsidRPr="00EB5A35" w:rsidRDefault="00B454C7" w:rsidP="00B454C7">
          <w:pPr>
            <w:spacing w:after="0" w:line="240" w:lineRule="auto"/>
            <w:rPr>
              <w:rFonts w:ascii="Calibri" w:eastAsia="Times New Roman" w:hAnsi="Calibri" w:cs="Calibri"/>
              <w:color w:val="000000"/>
              <w:lang w:eastAsia="tr-TR"/>
            </w:rPr>
          </w:pPr>
        </w:p>
      </w:tc>
      <w:tc>
        <w:tcPr>
          <w:tcW w:w="5417" w:type="dxa"/>
          <w:gridSpan w:val="8"/>
          <w:vMerge/>
          <w:tcBorders>
            <w:top w:val="nil"/>
            <w:left w:val="single" w:sz="4" w:space="0" w:color="2E74B5" w:themeColor="accent1" w:themeShade="BF"/>
            <w:bottom w:val="nil"/>
            <w:right w:val="single" w:sz="4" w:space="0" w:color="2E74B5" w:themeColor="accent1" w:themeShade="BF"/>
          </w:tcBorders>
          <w:vAlign w:val="center"/>
          <w:hideMark/>
        </w:tcPr>
        <w:p w:rsidR="00B454C7" w:rsidRPr="00EB5A35" w:rsidRDefault="00B454C7" w:rsidP="00B454C7">
          <w:pPr>
            <w:spacing w:after="0" w:line="240" w:lineRule="auto"/>
            <w:rPr>
              <w:rFonts w:ascii="Calibri" w:eastAsia="Times New Roman" w:hAnsi="Calibri" w:cs="Calibri"/>
              <w:color w:val="000000"/>
              <w:lang w:eastAsia="tr-TR"/>
            </w:rPr>
          </w:pPr>
        </w:p>
      </w:tc>
    </w:tr>
    <w:tr w:rsidR="00B454C7" w:rsidRPr="00EB5A35" w:rsidTr="003D2BD8">
      <w:trPr>
        <w:gridAfter w:val="1"/>
        <w:wAfter w:w="2268" w:type="dxa"/>
        <w:trHeight w:val="290"/>
      </w:trPr>
      <w:tc>
        <w:tcPr>
          <w:tcW w:w="1560" w:type="dxa"/>
          <w:tcBorders>
            <w:top w:val="nil"/>
            <w:left w:val="nil"/>
            <w:bottom w:val="nil"/>
            <w:right w:val="nil"/>
          </w:tcBorders>
          <w:shd w:val="clear" w:color="auto" w:fill="auto"/>
          <w:noWrap/>
          <w:vAlign w:val="center"/>
          <w:hideMark/>
        </w:tcPr>
        <w:p w:rsidR="00B454C7" w:rsidRPr="00EB5A35" w:rsidRDefault="00B454C7" w:rsidP="00B454C7">
          <w:pPr>
            <w:spacing w:after="0" w:line="240" w:lineRule="auto"/>
            <w:jc w:val="center"/>
            <w:rPr>
              <w:rFonts w:ascii="Times New Roman" w:eastAsia="Times New Roman" w:hAnsi="Times New Roman" w:cs="Times New Roman"/>
              <w:sz w:val="20"/>
              <w:szCs w:val="20"/>
              <w:lang w:eastAsia="tr-TR"/>
            </w:rPr>
          </w:pPr>
        </w:p>
      </w:tc>
      <w:tc>
        <w:tcPr>
          <w:tcW w:w="1842" w:type="dxa"/>
          <w:tcBorders>
            <w:top w:val="single" w:sz="4" w:space="0" w:color="2E74B5" w:themeColor="accent1" w:themeShade="BF"/>
            <w:left w:val="nil"/>
            <w:bottom w:val="nil"/>
            <w:right w:val="nil"/>
          </w:tcBorders>
          <w:shd w:val="clear" w:color="auto" w:fill="auto"/>
          <w:noWrap/>
          <w:vAlign w:val="center"/>
          <w:hideMark/>
        </w:tcPr>
        <w:p w:rsidR="00B454C7" w:rsidRPr="00EB5A35" w:rsidRDefault="00B454C7" w:rsidP="00B454C7">
          <w:pPr>
            <w:spacing w:after="0" w:line="240" w:lineRule="auto"/>
            <w:jc w:val="center"/>
            <w:rPr>
              <w:rFonts w:ascii="Times New Roman" w:eastAsia="Times New Roman" w:hAnsi="Times New Roman" w:cs="Times New Roman"/>
              <w:sz w:val="20"/>
              <w:szCs w:val="20"/>
              <w:lang w:eastAsia="tr-TR"/>
            </w:rPr>
          </w:pPr>
        </w:p>
      </w:tc>
      <w:tc>
        <w:tcPr>
          <w:tcW w:w="4802" w:type="dxa"/>
          <w:gridSpan w:val="2"/>
          <w:tcBorders>
            <w:top w:val="single" w:sz="4" w:space="0" w:color="2E74B5" w:themeColor="accent1" w:themeShade="BF"/>
            <w:left w:val="nil"/>
            <w:bottom w:val="nil"/>
            <w:right w:val="nil"/>
          </w:tcBorders>
          <w:shd w:val="clear" w:color="auto" w:fill="auto"/>
          <w:noWrap/>
          <w:vAlign w:val="center"/>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95" w:type="dxa"/>
          <w:tcBorders>
            <w:top w:val="single" w:sz="4" w:space="0" w:color="2E74B5" w:themeColor="accent1" w:themeShade="BF"/>
            <w:left w:val="nil"/>
            <w:bottom w:val="nil"/>
            <w:right w:val="nil"/>
          </w:tcBorders>
          <w:shd w:val="clear" w:color="auto" w:fill="auto"/>
          <w:noWrap/>
          <w:hideMark/>
        </w:tcPr>
        <w:p w:rsidR="00B454C7" w:rsidRPr="00EB5A35" w:rsidRDefault="00B454C7" w:rsidP="00B454C7">
          <w:pPr>
            <w:spacing w:after="0" w:line="240" w:lineRule="auto"/>
            <w:jc w:val="both"/>
            <w:rPr>
              <w:rFonts w:ascii="Times New Roman" w:eastAsia="Times New Roman" w:hAnsi="Times New Roman" w:cs="Times New Roman"/>
              <w:sz w:val="20"/>
              <w:szCs w:val="20"/>
              <w:lang w:eastAsia="tr-TR"/>
            </w:rPr>
          </w:pPr>
        </w:p>
      </w:tc>
      <w:tc>
        <w:tcPr>
          <w:tcW w:w="494" w:type="dxa"/>
          <w:tcBorders>
            <w:top w:val="single" w:sz="4" w:space="0" w:color="2E74B5" w:themeColor="accent1" w:themeShade="BF"/>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502" w:type="dxa"/>
          <w:tcBorders>
            <w:top w:val="single" w:sz="4" w:space="0" w:color="2E74B5" w:themeColor="accent1" w:themeShade="BF"/>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87" w:type="dxa"/>
          <w:tcBorders>
            <w:top w:val="single" w:sz="4" w:space="0" w:color="2E74B5" w:themeColor="accent1" w:themeShade="BF"/>
            <w:left w:val="nil"/>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19" w:type="dxa"/>
          <w:gridSpan w:val="2"/>
          <w:tcBorders>
            <w:top w:val="single" w:sz="4" w:space="0" w:color="2E74B5" w:themeColor="accent1" w:themeShade="BF"/>
            <w:left w:val="nil"/>
            <w:bottom w:val="nil"/>
            <w:right w:val="single" w:sz="4" w:space="0" w:color="FFFFFF" w:themeColor="background1"/>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46" w:type="dxa"/>
          <w:gridSpan w:val="2"/>
          <w:tcBorders>
            <w:top w:val="single" w:sz="4" w:space="0" w:color="2E74B5" w:themeColor="accent1" w:themeShade="BF"/>
            <w:left w:val="single" w:sz="4" w:space="0" w:color="FFFFFF" w:themeColor="background1"/>
            <w:bottom w:val="nil"/>
            <w:right w:val="nil"/>
          </w:tcBorders>
          <w:shd w:val="clear" w:color="auto" w:fill="auto"/>
          <w:noWrap/>
          <w:hideMark/>
        </w:tcPr>
        <w:p w:rsidR="00B454C7" w:rsidRPr="00EB5A35" w:rsidRDefault="00B454C7" w:rsidP="00B454C7">
          <w:pPr>
            <w:spacing w:after="0" w:line="240" w:lineRule="auto"/>
            <w:rPr>
              <w:rFonts w:ascii="Times New Roman" w:eastAsia="Times New Roman" w:hAnsi="Times New Roman" w:cs="Times New Roman"/>
              <w:sz w:val="20"/>
              <w:szCs w:val="20"/>
              <w:lang w:eastAsia="tr-TR"/>
            </w:rPr>
          </w:pPr>
        </w:p>
      </w:tc>
      <w:tc>
        <w:tcPr>
          <w:tcW w:w="4971" w:type="dxa"/>
          <w:gridSpan w:val="6"/>
          <w:tcBorders>
            <w:top w:val="single" w:sz="4" w:space="0" w:color="2E74B5" w:themeColor="accent1" w:themeShade="BF"/>
            <w:left w:val="nil"/>
            <w:bottom w:val="nil"/>
            <w:right w:val="nil"/>
          </w:tcBorders>
          <w:shd w:val="clear" w:color="000000" w:fill="FFFFFF"/>
          <w:noWrap/>
          <w:hideMark/>
        </w:tcPr>
        <w:p w:rsidR="00B454C7" w:rsidRPr="00EB5A35" w:rsidRDefault="00B454C7" w:rsidP="00B454C7">
          <w:pPr>
            <w:spacing w:after="0" w:line="240" w:lineRule="auto"/>
            <w:jc w:val="both"/>
            <w:rPr>
              <w:rFonts w:ascii="Calibri" w:eastAsia="Times New Roman" w:hAnsi="Calibri" w:cs="Calibri"/>
              <w:color w:val="FFFFFF"/>
              <w:lang w:eastAsia="tr-TR"/>
            </w:rPr>
          </w:pPr>
          <w:r w:rsidRPr="00EB5A35">
            <w:rPr>
              <w:rFonts w:ascii="Calibri" w:eastAsia="Times New Roman" w:hAnsi="Calibri" w:cs="Calibri"/>
              <w:color w:val="FFFFFF"/>
              <w:lang w:eastAsia="tr-TR"/>
            </w:rPr>
            <w:t> </w:t>
          </w:r>
        </w:p>
      </w:tc>
    </w:tr>
  </w:tbl>
  <w:p w:rsidR="00B454C7" w:rsidRDefault="00B454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5"/>
    <w:rsid w:val="00076B22"/>
    <w:rsid w:val="000C3372"/>
    <w:rsid w:val="001B0012"/>
    <w:rsid w:val="00230374"/>
    <w:rsid w:val="00390454"/>
    <w:rsid w:val="00427ED3"/>
    <w:rsid w:val="00431661"/>
    <w:rsid w:val="00436F7F"/>
    <w:rsid w:val="004B5EFC"/>
    <w:rsid w:val="00524F9D"/>
    <w:rsid w:val="006B5C8D"/>
    <w:rsid w:val="00791758"/>
    <w:rsid w:val="008E2895"/>
    <w:rsid w:val="00A3725F"/>
    <w:rsid w:val="00B22E13"/>
    <w:rsid w:val="00B454C7"/>
    <w:rsid w:val="00B46B3B"/>
    <w:rsid w:val="00C554B0"/>
    <w:rsid w:val="00E87416"/>
    <w:rsid w:val="00EB5A35"/>
    <w:rsid w:val="00F76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39A3"/>
  <w15:chartTrackingRefBased/>
  <w15:docId w15:val="{FDC1829F-2372-4CD2-814E-B45D2B59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54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54C7"/>
  </w:style>
  <w:style w:type="paragraph" w:styleId="AltBilgi">
    <w:name w:val="footer"/>
    <w:basedOn w:val="Normal"/>
    <w:link w:val="AltBilgiChar"/>
    <w:uiPriority w:val="99"/>
    <w:unhideWhenUsed/>
    <w:rsid w:val="00B454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54C7"/>
  </w:style>
  <w:style w:type="table" w:styleId="TabloKlavuzu">
    <w:name w:val="Table Grid"/>
    <w:basedOn w:val="NormalTablo"/>
    <w:uiPriority w:val="39"/>
    <w:rsid w:val="0052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16499">
      <w:bodyDiv w:val="1"/>
      <w:marLeft w:val="0"/>
      <w:marRight w:val="0"/>
      <w:marTop w:val="0"/>
      <w:marBottom w:val="0"/>
      <w:divBdr>
        <w:top w:val="none" w:sz="0" w:space="0" w:color="auto"/>
        <w:left w:val="none" w:sz="0" w:space="0" w:color="auto"/>
        <w:bottom w:val="none" w:sz="0" w:space="0" w:color="auto"/>
        <w:right w:val="none" w:sz="0" w:space="0" w:color="auto"/>
      </w:divBdr>
    </w:div>
    <w:div w:id="19239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C677-F40E-4040-89D8-8B8B92E3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5473</Words>
  <Characters>31201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Ekici</dc:creator>
  <cp:keywords/>
  <dc:description/>
  <cp:lastModifiedBy>Sevki Doktur</cp:lastModifiedBy>
  <cp:revision>2</cp:revision>
  <dcterms:created xsi:type="dcterms:W3CDTF">2024-03-19T07:43:00Z</dcterms:created>
  <dcterms:modified xsi:type="dcterms:W3CDTF">2024-03-19T07:43:00Z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user=sedat.ekici</vt:lpwstr>
  </property>
  <property fmtid="{D5CDD505-2E9C-101B-9397-08002B2CF9AE}" pid="4" name="geodilabeltime">
    <vt:lpwstr>datetime=2024-03-18T07:59:29.137Z</vt:lpwstr>
  </property>
</Properties>
</file>